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theme/themeOverride25.xml" ContentType="application/vnd.openxmlformats-officedocument.themeOverride+xml"/>
  <Override PartName="/word/charts/chart2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25041934"/>
        <w:docPartObj>
          <w:docPartGallery w:val="Cover Pages"/>
          <w:docPartUnique/>
        </w:docPartObj>
      </w:sdtPr>
      <w:sdtEndPr/>
      <w:sdtContent>
        <w:p w14:paraId="5E6607A6" w14:textId="3362BD9E" w:rsidR="00031A4F" w:rsidRPr="005A3C94" w:rsidRDefault="00031A4F"/>
        <w:p w14:paraId="076D7281" w14:textId="0E02702E" w:rsidR="00031A4F" w:rsidRPr="005A3C94" w:rsidRDefault="00031A4F" w:rsidP="00A02D63">
          <w:r w:rsidRPr="005A3C94">
            <w:rPr>
              <w:noProof/>
              <w:lang w:eastAsia="hu-HU"/>
            </w:rPr>
            <mc:AlternateContent>
              <mc:Choice Requires="wps">
                <w:drawing>
                  <wp:anchor distT="0" distB="0" distL="114300" distR="114300" simplePos="0" relativeHeight="251659264" behindDoc="0" locked="0" layoutInCell="1" allowOverlap="1" wp14:anchorId="2BA886E3" wp14:editId="314ABC41">
                    <wp:simplePos x="0" y="0"/>
                    <wp:positionH relativeFrom="page">
                      <wp:posOffset>495300</wp:posOffset>
                    </wp:positionH>
                    <wp:positionV relativeFrom="page">
                      <wp:posOffset>3162300</wp:posOffset>
                    </wp:positionV>
                    <wp:extent cx="6847840" cy="6867525"/>
                    <wp:effectExtent l="0" t="0" r="0" b="9525"/>
                    <wp:wrapSquare wrapText="bothSides"/>
                    <wp:docPr id="154" name="Szövegdoboz 154"/>
                    <wp:cNvGraphicFramePr/>
                    <a:graphic xmlns:a="http://schemas.openxmlformats.org/drawingml/2006/main">
                      <a:graphicData uri="http://schemas.microsoft.com/office/word/2010/wordprocessingShape">
                        <wps:wsp>
                          <wps:cNvSpPr txBox="1"/>
                          <wps:spPr>
                            <a:xfrm>
                              <a:off x="0" y="0"/>
                              <a:ext cx="6847840" cy="6867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3036A" w14:textId="26A80D23" w:rsidR="00931708" w:rsidRDefault="00DF1D13" w:rsidP="00A02D63">
                                <w:pPr>
                                  <w:ind w:left="-1134"/>
                                  <w:jc w:val="right"/>
                                  <w:rPr>
                                    <w:color w:val="5B9BD5" w:themeColor="accent1"/>
                                    <w:sz w:val="64"/>
                                    <w:szCs w:val="64"/>
                                  </w:rPr>
                                </w:pPr>
                                <w:sdt>
                                  <w:sdtPr>
                                    <w:rPr>
                                      <w:caps/>
                                      <w:color w:val="5B9BD5" w:themeColor="accent1"/>
                                      <w:sz w:val="64"/>
                                      <w:szCs w:val="64"/>
                                    </w:rPr>
                                    <w:alias w:val="Cím"/>
                                    <w:tag w:val=""/>
                                    <w:id w:val="194766486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31708">
                                      <w:rPr>
                                        <w:caps/>
                                        <w:color w:val="5B9BD5" w:themeColor="accent1"/>
                                        <w:sz w:val="64"/>
                                        <w:szCs w:val="64"/>
                                      </w:rPr>
                                      <w:t>A pécsi kreatív partnerség matematika Pilot-programjának értékelése</w:t>
                                    </w:r>
                                  </w:sdtContent>
                                </w:sdt>
                              </w:p>
                              <w:sdt>
                                <w:sdtPr>
                                  <w:rPr>
                                    <w:color w:val="404040" w:themeColor="text1" w:themeTint="BF"/>
                                    <w:sz w:val="36"/>
                                    <w:szCs w:val="36"/>
                                  </w:rPr>
                                  <w:alias w:val="Alcím"/>
                                  <w:tag w:val=""/>
                                  <w:id w:val="2022885947"/>
                                  <w:dataBinding w:prefixMappings="xmlns:ns0='http://purl.org/dc/elements/1.1/' xmlns:ns1='http://schemas.openxmlformats.org/package/2006/metadata/core-properties' " w:xpath="/ns1:coreProperties[1]/ns0:subject[1]" w:storeItemID="{6C3C8BC8-F283-45AE-878A-BAB7291924A1}"/>
                                  <w:text/>
                                </w:sdtPr>
                                <w:sdtEndPr/>
                                <w:sdtContent>
                                  <w:p w14:paraId="3436E1CF" w14:textId="3BC43BB7" w:rsidR="00931708" w:rsidRDefault="00931708">
                                    <w:pPr>
                                      <w:jc w:val="right"/>
                                      <w:rPr>
                                        <w:color w:val="404040" w:themeColor="text1" w:themeTint="BF"/>
                                        <w:sz w:val="36"/>
                                        <w:szCs w:val="36"/>
                                      </w:rPr>
                                    </w:pPr>
                                    <w:r>
                                      <w:rPr>
                                        <w:color w:val="404040" w:themeColor="text1" w:themeTint="BF"/>
                                        <w:sz w:val="36"/>
                                        <w:szCs w:val="36"/>
                                      </w:rPr>
                                      <w:t>Kutatási jelentés</w:t>
                                    </w:r>
                                  </w:p>
                                </w:sdtContent>
                              </w:sdt>
                              <w:p w14:paraId="47552D83" w14:textId="77777777" w:rsidR="00931708" w:rsidRDefault="00931708">
                                <w:pPr>
                                  <w:jc w:val="right"/>
                                  <w:rPr>
                                    <w:color w:val="404040" w:themeColor="text1" w:themeTint="BF"/>
                                    <w:sz w:val="36"/>
                                    <w:szCs w:val="36"/>
                                  </w:rPr>
                                </w:pPr>
                              </w:p>
                              <w:p w14:paraId="29BFDE3F" w14:textId="77777777" w:rsidR="00931708" w:rsidRDefault="00931708">
                                <w:pPr>
                                  <w:jc w:val="right"/>
                                  <w:rPr>
                                    <w:color w:val="404040" w:themeColor="text1" w:themeTint="BF"/>
                                    <w:sz w:val="36"/>
                                    <w:szCs w:val="36"/>
                                  </w:rPr>
                                </w:pPr>
                              </w:p>
                              <w:p w14:paraId="40BDE0B1" w14:textId="77777777" w:rsidR="00931708" w:rsidRDefault="00931708">
                                <w:pPr>
                                  <w:jc w:val="right"/>
                                  <w:rPr>
                                    <w:color w:val="404040" w:themeColor="text1" w:themeTint="BF"/>
                                    <w:sz w:val="36"/>
                                    <w:szCs w:val="36"/>
                                  </w:rPr>
                                </w:pPr>
                              </w:p>
                              <w:p w14:paraId="4F61BCEB" w14:textId="77777777" w:rsidR="00931708" w:rsidRDefault="00931708">
                                <w:pPr>
                                  <w:jc w:val="right"/>
                                  <w:rPr>
                                    <w:color w:val="404040" w:themeColor="text1" w:themeTint="BF"/>
                                    <w:sz w:val="36"/>
                                    <w:szCs w:val="36"/>
                                  </w:rPr>
                                </w:pPr>
                              </w:p>
                              <w:p w14:paraId="2AAE2365" w14:textId="712583B5" w:rsidR="00931708" w:rsidRDefault="00931708">
                                <w:pPr>
                                  <w:jc w:val="right"/>
                                  <w:rPr>
                                    <w:smallCaps/>
                                    <w:color w:val="404040" w:themeColor="text1" w:themeTint="BF"/>
                                    <w:sz w:val="36"/>
                                    <w:szCs w:val="36"/>
                                  </w:rPr>
                                </w:pPr>
                                <w:r>
                                  <w:rPr>
                                    <w:color w:val="404040" w:themeColor="text1" w:themeTint="BF"/>
                                    <w:sz w:val="36"/>
                                    <w:szCs w:val="36"/>
                                  </w:rPr>
                                  <w:t xml:space="preserve">2015. </w:t>
                                </w:r>
                                <w:r w:rsidR="00DF1D13">
                                  <w:rPr>
                                    <w:color w:val="404040" w:themeColor="text1" w:themeTint="BF"/>
                                    <w:sz w:val="36"/>
                                    <w:szCs w:val="36"/>
                                  </w:rPr>
                                  <w:t>november</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A886E3" id="_x0000_t202" coordsize="21600,21600" o:spt="202" path="m,l,21600r21600,l21600,xe">
                    <v:stroke joinstyle="miter"/>
                    <v:path gradientshapeok="t" o:connecttype="rect"/>
                  </v:shapetype>
                  <v:shape id="Szövegdoboz 154" o:spid="_x0000_s1026" type="#_x0000_t202" style="position:absolute;margin-left:39pt;margin-top:249pt;width:539.2pt;height:54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" filled="f" stroked="f" strokeweight=".5pt">
                    <v:textbox inset="126pt,0,54pt,0">
                      <w:txbxContent>
                        <w:p w14:paraId="42D3036A" w14:textId="26A80D23" w:rsidR="00931708" w:rsidRDefault="00DF1D13" w:rsidP="00A02D63">
                          <w:pPr>
                            <w:ind w:left="-1134"/>
                            <w:jc w:val="right"/>
                            <w:rPr>
                              <w:color w:val="5B9BD5" w:themeColor="accent1"/>
                              <w:sz w:val="64"/>
                              <w:szCs w:val="64"/>
                            </w:rPr>
                          </w:pPr>
                          <w:sdt>
                            <w:sdtPr>
                              <w:rPr>
                                <w:caps/>
                                <w:color w:val="5B9BD5" w:themeColor="accent1"/>
                                <w:sz w:val="64"/>
                                <w:szCs w:val="64"/>
                              </w:rPr>
                              <w:alias w:val="Cím"/>
                              <w:tag w:val=""/>
                              <w:id w:val="194766486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31708">
                                <w:rPr>
                                  <w:caps/>
                                  <w:color w:val="5B9BD5" w:themeColor="accent1"/>
                                  <w:sz w:val="64"/>
                                  <w:szCs w:val="64"/>
                                </w:rPr>
                                <w:t>A pécsi kreatív partnerség matematika Pilot-programjának értékelése</w:t>
                              </w:r>
                            </w:sdtContent>
                          </w:sdt>
                        </w:p>
                        <w:sdt>
                          <w:sdtPr>
                            <w:rPr>
                              <w:color w:val="404040" w:themeColor="text1" w:themeTint="BF"/>
                              <w:sz w:val="36"/>
                              <w:szCs w:val="36"/>
                            </w:rPr>
                            <w:alias w:val="Alcím"/>
                            <w:tag w:val=""/>
                            <w:id w:val="2022885947"/>
                            <w:dataBinding w:prefixMappings="xmlns:ns0='http://purl.org/dc/elements/1.1/' xmlns:ns1='http://schemas.openxmlformats.org/package/2006/metadata/core-properties' " w:xpath="/ns1:coreProperties[1]/ns0:subject[1]" w:storeItemID="{6C3C8BC8-F283-45AE-878A-BAB7291924A1}"/>
                            <w:text/>
                          </w:sdtPr>
                          <w:sdtEndPr/>
                          <w:sdtContent>
                            <w:p w14:paraId="3436E1CF" w14:textId="3BC43BB7" w:rsidR="00931708" w:rsidRDefault="00931708">
                              <w:pPr>
                                <w:jc w:val="right"/>
                                <w:rPr>
                                  <w:color w:val="404040" w:themeColor="text1" w:themeTint="BF"/>
                                  <w:sz w:val="36"/>
                                  <w:szCs w:val="36"/>
                                </w:rPr>
                              </w:pPr>
                              <w:r>
                                <w:rPr>
                                  <w:color w:val="404040" w:themeColor="text1" w:themeTint="BF"/>
                                  <w:sz w:val="36"/>
                                  <w:szCs w:val="36"/>
                                </w:rPr>
                                <w:t>Kutatási jelentés</w:t>
                              </w:r>
                            </w:p>
                          </w:sdtContent>
                        </w:sdt>
                        <w:p w14:paraId="47552D83" w14:textId="77777777" w:rsidR="00931708" w:rsidRDefault="00931708">
                          <w:pPr>
                            <w:jc w:val="right"/>
                            <w:rPr>
                              <w:color w:val="404040" w:themeColor="text1" w:themeTint="BF"/>
                              <w:sz w:val="36"/>
                              <w:szCs w:val="36"/>
                            </w:rPr>
                          </w:pPr>
                        </w:p>
                        <w:p w14:paraId="29BFDE3F" w14:textId="77777777" w:rsidR="00931708" w:rsidRDefault="00931708">
                          <w:pPr>
                            <w:jc w:val="right"/>
                            <w:rPr>
                              <w:color w:val="404040" w:themeColor="text1" w:themeTint="BF"/>
                              <w:sz w:val="36"/>
                              <w:szCs w:val="36"/>
                            </w:rPr>
                          </w:pPr>
                        </w:p>
                        <w:p w14:paraId="40BDE0B1" w14:textId="77777777" w:rsidR="00931708" w:rsidRDefault="00931708">
                          <w:pPr>
                            <w:jc w:val="right"/>
                            <w:rPr>
                              <w:color w:val="404040" w:themeColor="text1" w:themeTint="BF"/>
                              <w:sz w:val="36"/>
                              <w:szCs w:val="36"/>
                            </w:rPr>
                          </w:pPr>
                        </w:p>
                        <w:p w14:paraId="4F61BCEB" w14:textId="77777777" w:rsidR="00931708" w:rsidRDefault="00931708">
                          <w:pPr>
                            <w:jc w:val="right"/>
                            <w:rPr>
                              <w:color w:val="404040" w:themeColor="text1" w:themeTint="BF"/>
                              <w:sz w:val="36"/>
                              <w:szCs w:val="36"/>
                            </w:rPr>
                          </w:pPr>
                        </w:p>
                        <w:p w14:paraId="2AAE2365" w14:textId="712583B5" w:rsidR="00931708" w:rsidRDefault="00931708">
                          <w:pPr>
                            <w:jc w:val="right"/>
                            <w:rPr>
                              <w:smallCaps/>
                              <w:color w:val="404040" w:themeColor="text1" w:themeTint="BF"/>
                              <w:sz w:val="36"/>
                              <w:szCs w:val="36"/>
                            </w:rPr>
                          </w:pPr>
                          <w:r>
                            <w:rPr>
                              <w:color w:val="404040" w:themeColor="text1" w:themeTint="BF"/>
                              <w:sz w:val="36"/>
                              <w:szCs w:val="36"/>
                            </w:rPr>
                            <w:t xml:space="preserve">2015. </w:t>
                          </w:r>
                          <w:r w:rsidR="00DF1D13">
                            <w:rPr>
                              <w:color w:val="404040" w:themeColor="text1" w:themeTint="BF"/>
                              <w:sz w:val="36"/>
                              <w:szCs w:val="36"/>
                            </w:rPr>
                            <w:t>november</w:t>
                          </w:r>
                        </w:p>
                      </w:txbxContent>
                    </v:textbox>
                    <w10:wrap type="square" anchorx="page" anchory="page"/>
                  </v:shape>
                </w:pict>
              </mc:Fallback>
            </mc:AlternateContent>
          </w:r>
          <w:r w:rsidRPr="005A3C94">
            <w:rPr>
              <w:rFonts w:ascii="Verdana" w:hAnsi="Verdana"/>
              <w:noProof/>
              <w:sz w:val="20"/>
              <w:szCs w:val="20"/>
              <w:lang w:eastAsia="hu-HU"/>
            </w:rPr>
            <w:drawing>
              <wp:inline distT="0" distB="0" distL="0" distR="0" wp14:anchorId="7F9F152F" wp14:editId="2E1CB033">
                <wp:extent cx="2428875" cy="1264444"/>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571" cy="1270533"/>
                        </a:xfrm>
                        <a:prstGeom prst="rect">
                          <a:avLst/>
                        </a:prstGeom>
                        <a:noFill/>
                        <a:ln>
                          <a:noFill/>
                        </a:ln>
                      </pic:spPr>
                    </pic:pic>
                  </a:graphicData>
                </a:graphic>
              </wp:inline>
            </w:drawing>
          </w:r>
          <w:r w:rsidRPr="005A3C94">
            <w:rPr>
              <w:rFonts w:ascii="Times New Roman" w:hAnsi="Times New Roman" w:cs="Times New Roman"/>
              <w:noProof/>
              <w:sz w:val="24"/>
              <w:szCs w:val="24"/>
              <w:lang w:eastAsia="hu-HU"/>
            </w:rPr>
            <w:drawing>
              <wp:inline distT="0" distB="0" distL="0" distR="0" wp14:anchorId="4249AAA0" wp14:editId="471CE0C1">
                <wp:extent cx="2047875" cy="12096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209675"/>
                        </a:xfrm>
                        <a:prstGeom prst="rect">
                          <a:avLst/>
                        </a:prstGeom>
                        <a:noFill/>
                        <a:ln>
                          <a:noFill/>
                        </a:ln>
                      </pic:spPr>
                    </pic:pic>
                  </a:graphicData>
                </a:graphic>
              </wp:inline>
            </w:drawing>
          </w:r>
          <w:r w:rsidR="0083193B" w:rsidRPr="005A3C94">
            <w:rPr>
              <w:rFonts w:ascii="Arial" w:eastAsia="Calibri" w:hAnsi="Arial" w:cs="Arial"/>
              <w:b/>
              <w:bCs/>
              <w:noProof/>
              <w:sz w:val="28"/>
              <w:szCs w:val="28"/>
              <w:lang w:eastAsia="hu-HU"/>
            </w:rPr>
            <w:drawing>
              <wp:inline distT="0" distB="0" distL="0" distR="0" wp14:anchorId="0E964A5D" wp14:editId="19A7E8A2">
                <wp:extent cx="1257300" cy="831273"/>
                <wp:effectExtent l="0" t="0" r="0" b="698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638" cy="838770"/>
                        </a:xfrm>
                        <a:prstGeom prst="rect">
                          <a:avLst/>
                        </a:prstGeom>
                        <a:noFill/>
                      </pic:spPr>
                    </pic:pic>
                  </a:graphicData>
                </a:graphic>
              </wp:inline>
            </w:drawing>
          </w:r>
          <w:r w:rsidRPr="005A3C94">
            <w:br w:type="page"/>
          </w:r>
        </w:p>
        <w:p w14:paraId="7437F787" w14:textId="0CCE8500" w:rsidR="00031A4F" w:rsidRPr="005A3C94" w:rsidRDefault="00DF1D13"/>
      </w:sdtContent>
    </w:sdt>
    <w:sdt>
      <w:sdtPr>
        <w:rPr>
          <w:rFonts w:asciiTheme="minorHAnsi" w:eastAsiaTheme="minorHAnsi" w:hAnsiTheme="minorHAnsi" w:cstheme="minorBidi"/>
          <w:color w:val="auto"/>
          <w:sz w:val="22"/>
          <w:szCs w:val="22"/>
          <w:lang w:eastAsia="en-US"/>
        </w:rPr>
        <w:id w:val="1123431450"/>
        <w:docPartObj>
          <w:docPartGallery w:val="Table of Contents"/>
          <w:docPartUnique/>
        </w:docPartObj>
      </w:sdtPr>
      <w:sdtEndPr>
        <w:rPr>
          <w:b/>
          <w:bCs/>
        </w:rPr>
      </w:sdtEndPr>
      <w:sdtContent>
        <w:p w14:paraId="5D593FCE" w14:textId="12F5A141" w:rsidR="000B6DAE" w:rsidRPr="005A3C94" w:rsidRDefault="000B6DAE">
          <w:pPr>
            <w:pStyle w:val="Tartalomjegyzkcmsora"/>
          </w:pPr>
          <w:r w:rsidRPr="005A3C94">
            <w:t>Tartalom</w:t>
          </w:r>
        </w:p>
        <w:p w14:paraId="376D81C8" w14:textId="77777777" w:rsidR="001B4AD8" w:rsidRPr="005A3C94" w:rsidRDefault="000B6DAE">
          <w:pPr>
            <w:pStyle w:val="TJ1"/>
            <w:tabs>
              <w:tab w:val="right" w:leader="dot" w:pos="9062"/>
            </w:tabs>
            <w:rPr>
              <w:rFonts w:eastAsiaTheme="minorEastAsia"/>
              <w:noProof/>
              <w:lang w:eastAsia="hu-HU"/>
            </w:rPr>
          </w:pPr>
          <w:r w:rsidRPr="005A3C94">
            <w:fldChar w:fldCharType="begin"/>
          </w:r>
          <w:r w:rsidRPr="005A3C94">
            <w:instrText xml:space="preserve"> TOC \o "1-3" \h \z \u </w:instrText>
          </w:r>
          <w:r w:rsidRPr="005A3C94">
            <w:fldChar w:fldCharType="separate"/>
          </w:r>
          <w:hyperlink w:anchor="_Toc437242811" w:history="1">
            <w:r w:rsidR="001B4AD8" w:rsidRPr="005A3C94">
              <w:rPr>
                <w:rStyle w:val="Hiperhivatkozs"/>
                <w:rFonts w:ascii="Garamond" w:hAnsi="Garamond"/>
                <w:noProof/>
              </w:rPr>
              <w:t>Bevezetés</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_Toc437242811 \h </w:instrText>
            </w:r>
            <w:r w:rsidR="001B4AD8" w:rsidRPr="005A3C94">
              <w:rPr>
                <w:noProof/>
                <w:webHidden/>
              </w:rPr>
            </w:r>
            <w:r w:rsidR="001B4AD8" w:rsidRPr="005A3C94">
              <w:rPr>
                <w:noProof/>
                <w:webHidden/>
              </w:rPr>
              <w:fldChar w:fldCharType="separate"/>
            </w:r>
            <w:r w:rsidR="001B4AD8" w:rsidRPr="005A3C94">
              <w:rPr>
                <w:noProof/>
                <w:webHidden/>
              </w:rPr>
              <w:t>2</w:t>
            </w:r>
            <w:r w:rsidR="001B4AD8" w:rsidRPr="005A3C94">
              <w:rPr>
                <w:noProof/>
                <w:webHidden/>
              </w:rPr>
              <w:fldChar w:fldCharType="end"/>
            </w:r>
          </w:hyperlink>
        </w:p>
        <w:p w14:paraId="7F18B21D" w14:textId="77777777" w:rsidR="001B4AD8" w:rsidRPr="005A3C94" w:rsidRDefault="00DF1D13">
          <w:pPr>
            <w:pStyle w:val="TJ2"/>
            <w:tabs>
              <w:tab w:val="right" w:leader="dot" w:pos="9062"/>
            </w:tabs>
            <w:rPr>
              <w:rFonts w:eastAsiaTheme="minorEastAsia"/>
              <w:noProof/>
              <w:lang w:eastAsia="hu-HU"/>
            </w:rPr>
          </w:pPr>
          <w:hyperlink w:anchor="_Toc437242812" w:history="1">
            <w:r w:rsidR="001B4AD8" w:rsidRPr="005A3C94">
              <w:rPr>
                <w:rStyle w:val="Hiperhivatkozs"/>
                <w:noProof/>
              </w:rPr>
              <w:t>A Kreatív Partnerség Program pedagógiai koncepciójának fő jellemzői</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_Toc437242812 \h </w:instrText>
            </w:r>
            <w:r w:rsidR="001B4AD8" w:rsidRPr="005A3C94">
              <w:rPr>
                <w:noProof/>
                <w:webHidden/>
              </w:rPr>
            </w:r>
            <w:r w:rsidR="001B4AD8" w:rsidRPr="005A3C94">
              <w:rPr>
                <w:noProof/>
                <w:webHidden/>
              </w:rPr>
              <w:fldChar w:fldCharType="separate"/>
            </w:r>
            <w:r w:rsidR="001B4AD8" w:rsidRPr="005A3C94">
              <w:rPr>
                <w:noProof/>
                <w:webHidden/>
              </w:rPr>
              <w:t>3</w:t>
            </w:r>
            <w:r w:rsidR="001B4AD8" w:rsidRPr="005A3C94">
              <w:rPr>
                <w:noProof/>
                <w:webHidden/>
              </w:rPr>
              <w:fldChar w:fldCharType="end"/>
            </w:r>
          </w:hyperlink>
        </w:p>
        <w:p w14:paraId="71760848" w14:textId="77777777" w:rsidR="001B4AD8" w:rsidRPr="005A3C94" w:rsidRDefault="00DF1D13">
          <w:pPr>
            <w:pStyle w:val="TJ2"/>
            <w:tabs>
              <w:tab w:val="right" w:leader="dot" w:pos="9062"/>
            </w:tabs>
            <w:rPr>
              <w:rFonts w:eastAsiaTheme="minorEastAsia"/>
              <w:noProof/>
              <w:lang w:eastAsia="hu-HU"/>
            </w:rPr>
          </w:pPr>
          <w:hyperlink w:anchor="_Toc437242813" w:history="1">
            <w:r w:rsidR="001B4AD8" w:rsidRPr="005A3C94">
              <w:rPr>
                <w:rStyle w:val="Hiperhivatkozs"/>
                <w:noProof/>
              </w:rPr>
              <w:t>A magyarországi pilot-program működése/ működtetése</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_Toc437242813 \h </w:instrText>
            </w:r>
            <w:r w:rsidR="001B4AD8" w:rsidRPr="005A3C94">
              <w:rPr>
                <w:noProof/>
                <w:webHidden/>
              </w:rPr>
            </w:r>
            <w:r w:rsidR="001B4AD8" w:rsidRPr="005A3C94">
              <w:rPr>
                <w:noProof/>
                <w:webHidden/>
              </w:rPr>
              <w:fldChar w:fldCharType="separate"/>
            </w:r>
            <w:r w:rsidR="001B4AD8" w:rsidRPr="005A3C94">
              <w:rPr>
                <w:noProof/>
                <w:webHidden/>
              </w:rPr>
              <w:t>4</w:t>
            </w:r>
            <w:r w:rsidR="001B4AD8" w:rsidRPr="005A3C94">
              <w:rPr>
                <w:noProof/>
                <w:webHidden/>
              </w:rPr>
              <w:fldChar w:fldCharType="end"/>
            </w:r>
          </w:hyperlink>
        </w:p>
        <w:p w14:paraId="582894D6" w14:textId="77777777" w:rsidR="001B4AD8" w:rsidRPr="005A3C94" w:rsidRDefault="00DF1D13">
          <w:pPr>
            <w:pStyle w:val="TJ2"/>
            <w:tabs>
              <w:tab w:val="right" w:leader="dot" w:pos="9062"/>
            </w:tabs>
            <w:rPr>
              <w:rFonts w:eastAsiaTheme="minorEastAsia"/>
              <w:noProof/>
              <w:lang w:eastAsia="hu-HU"/>
            </w:rPr>
          </w:pPr>
          <w:hyperlink w:anchor="_Toc437242814" w:history="1">
            <w:r w:rsidR="001B4AD8" w:rsidRPr="005A3C94">
              <w:rPr>
                <w:rStyle w:val="Hiperhivatkozs"/>
                <w:noProof/>
              </w:rPr>
              <w:t>A program kipróbálásának első szakasza</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_Toc437242814 \h </w:instrText>
            </w:r>
            <w:r w:rsidR="001B4AD8" w:rsidRPr="005A3C94">
              <w:rPr>
                <w:noProof/>
                <w:webHidden/>
              </w:rPr>
            </w:r>
            <w:r w:rsidR="001B4AD8" w:rsidRPr="005A3C94">
              <w:rPr>
                <w:noProof/>
                <w:webHidden/>
              </w:rPr>
              <w:fldChar w:fldCharType="separate"/>
            </w:r>
            <w:r w:rsidR="001B4AD8" w:rsidRPr="005A3C94">
              <w:rPr>
                <w:noProof/>
                <w:webHidden/>
              </w:rPr>
              <w:t>5</w:t>
            </w:r>
            <w:r w:rsidR="001B4AD8" w:rsidRPr="005A3C94">
              <w:rPr>
                <w:noProof/>
                <w:webHidden/>
              </w:rPr>
              <w:fldChar w:fldCharType="end"/>
            </w:r>
          </w:hyperlink>
        </w:p>
        <w:p w14:paraId="27E2B820" w14:textId="77777777" w:rsidR="001B4AD8" w:rsidRPr="005A3C94" w:rsidRDefault="00DF1D13">
          <w:pPr>
            <w:pStyle w:val="TJ2"/>
            <w:tabs>
              <w:tab w:val="right" w:leader="dot" w:pos="9062"/>
            </w:tabs>
            <w:rPr>
              <w:rFonts w:eastAsiaTheme="minorEastAsia"/>
              <w:noProof/>
              <w:lang w:eastAsia="hu-HU"/>
            </w:rPr>
          </w:pPr>
          <w:hyperlink w:anchor="_Toc437242815" w:history="1">
            <w:r w:rsidR="001B4AD8" w:rsidRPr="005A3C94">
              <w:rPr>
                <w:rStyle w:val="Hiperhivatkozs"/>
                <w:noProof/>
              </w:rPr>
              <w:t>A program kipróbálásának második szakasza</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_Toc437242815 \h </w:instrText>
            </w:r>
            <w:r w:rsidR="001B4AD8" w:rsidRPr="005A3C94">
              <w:rPr>
                <w:noProof/>
                <w:webHidden/>
              </w:rPr>
            </w:r>
            <w:r w:rsidR="001B4AD8" w:rsidRPr="005A3C94">
              <w:rPr>
                <w:noProof/>
                <w:webHidden/>
              </w:rPr>
              <w:fldChar w:fldCharType="separate"/>
            </w:r>
            <w:r w:rsidR="001B4AD8" w:rsidRPr="005A3C94">
              <w:rPr>
                <w:noProof/>
                <w:webHidden/>
              </w:rPr>
              <w:t>5</w:t>
            </w:r>
            <w:r w:rsidR="001B4AD8" w:rsidRPr="005A3C94">
              <w:rPr>
                <w:noProof/>
                <w:webHidden/>
              </w:rPr>
              <w:fldChar w:fldCharType="end"/>
            </w:r>
          </w:hyperlink>
        </w:p>
        <w:p w14:paraId="3FBE6A0F" w14:textId="77777777" w:rsidR="001B4AD8" w:rsidRPr="005A3C94" w:rsidRDefault="00DF1D13">
          <w:pPr>
            <w:pStyle w:val="TJ2"/>
            <w:tabs>
              <w:tab w:val="right" w:leader="dot" w:pos="9062"/>
            </w:tabs>
            <w:rPr>
              <w:rFonts w:eastAsiaTheme="minorEastAsia"/>
              <w:noProof/>
              <w:lang w:eastAsia="hu-HU"/>
            </w:rPr>
          </w:pPr>
          <w:hyperlink w:anchor="_Toc437242816" w:history="1">
            <w:r w:rsidR="001B4AD8" w:rsidRPr="005A3C94">
              <w:rPr>
                <w:rStyle w:val="Hiperhivatkozs"/>
                <w:rFonts w:eastAsia="Times New Roman"/>
                <w:noProof/>
                <w:lang w:eastAsia="en-GB"/>
              </w:rPr>
              <w:t>A kvalitatív vizsgálat fő eredményei</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_Toc437242816 \h </w:instrText>
            </w:r>
            <w:r w:rsidR="001B4AD8" w:rsidRPr="005A3C94">
              <w:rPr>
                <w:noProof/>
                <w:webHidden/>
              </w:rPr>
            </w:r>
            <w:r w:rsidR="001B4AD8" w:rsidRPr="005A3C94">
              <w:rPr>
                <w:noProof/>
                <w:webHidden/>
              </w:rPr>
              <w:fldChar w:fldCharType="separate"/>
            </w:r>
            <w:r w:rsidR="001B4AD8" w:rsidRPr="005A3C94">
              <w:rPr>
                <w:noProof/>
                <w:webHidden/>
              </w:rPr>
              <w:t>6</w:t>
            </w:r>
            <w:r w:rsidR="001B4AD8" w:rsidRPr="005A3C94">
              <w:rPr>
                <w:noProof/>
                <w:webHidden/>
              </w:rPr>
              <w:fldChar w:fldCharType="end"/>
            </w:r>
          </w:hyperlink>
        </w:p>
        <w:p w14:paraId="06F79167" w14:textId="77777777" w:rsidR="001B4AD8" w:rsidRPr="005A3C94" w:rsidRDefault="00DF1D13">
          <w:pPr>
            <w:pStyle w:val="TJ2"/>
            <w:tabs>
              <w:tab w:val="right" w:leader="dot" w:pos="9062"/>
            </w:tabs>
            <w:rPr>
              <w:rFonts w:eastAsiaTheme="minorEastAsia"/>
              <w:noProof/>
              <w:lang w:eastAsia="hu-HU"/>
            </w:rPr>
          </w:pPr>
          <w:hyperlink w:anchor="_Toc437242817" w:history="1">
            <w:r w:rsidR="001B4AD8" w:rsidRPr="005A3C94">
              <w:rPr>
                <w:rStyle w:val="Hiperhivatkozs"/>
                <w:noProof/>
              </w:rPr>
              <w:t>A matematika pilot-program kvantitatív értékelésének módszere és eszközei</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_Toc437242817 \h </w:instrText>
            </w:r>
            <w:r w:rsidR="001B4AD8" w:rsidRPr="005A3C94">
              <w:rPr>
                <w:noProof/>
                <w:webHidden/>
              </w:rPr>
            </w:r>
            <w:r w:rsidR="001B4AD8" w:rsidRPr="005A3C94">
              <w:rPr>
                <w:noProof/>
                <w:webHidden/>
              </w:rPr>
              <w:fldChar w:fldCharType="separate"/>
            </w:r>
            <w:r w:rsidR="001B4AD8" w:rsidRPr="005A3C94">
              <w:rPr>
                <w:noProof/>
                <w:webHidden/>
              </w:rPr>
              <w:t>10</w:t>
            </w:r>
            <w:r w:rsidR="001B4AD8" w:rsidRPr="005A3C94">
              <w:rPr>
                <w:noProof/>
                <w:webHidden/>
              </w:rPr>
              <w:fldChar w:fldCharType="end"/>
            </w:r>
          </w:hyperlink>
        </w:p>
        <w:p w14:paraId="6291C8A0" w14:textId="77777777" w:rsidR="001B4AD8" w:rsidRPr="005A3C94" w:rsidRDefault="00DF1D13">
          <w:pPr>
            <w:pStyle w:val="TJ3"/>
            <w:tabs>
              <w:tab w:val="right" w:leader="dot" w:pos="9062"/>
            </w:tabs>
            <w:rPr>
              <w:rFonts w:eastAsiaTheme="minorEastAsia"/>
              <w:noProof/>
              <w:lang w:eastAsia="hu-HU"/>
            </w:rPr>
          </w:pPr>
          <w:hyperlink w:anchor="_Toc437242818" w:history="1">
            <w:r w:rsidR="001B4AD8" w:rsidRPr="005A3C94">
              <w:rPr>
                <w:rStyle w:val="Hiperhivatkozs"/>
                <w:noProof/>
              </w:rPr>
              <w:t>A mérés eszközei</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_Toc437242818 \h </w:instrText>
            </w:r>
            <w:r w:rsidR="001B4AD8" w:rsidRPr="005A3C94">
              <w:rPr>
                <w:noProof/>
                <w:webHidden/>
              </w:rPr>
            </w:r>
            <w:r w:rsidR="001B4AD8" w:rsidRPr="005A3C94">
              <w:rPr>
                <w:noProof/>
                <w:webHidden/>
              </w:rPr>
              <w:fldChar w:fldCharType="separate"/>
            </w:r>
            <w:r w:rsidR="001B4AD8" w:rsidRPr="005A3C94">
              <w:rPr>
                <w:noProof/>
                <w:webHidden/>
              </w:rPr>
              <w:t>10</w:t>
            </w:r>
            <w:r w:rsidR="001B4AD8" w:rsidRPr="005A3C94">
              <w:rPr>
                <w:noProof/>
                <w:webHidden/>
              </w:rPr>
              <w:fldChar w:fldCharType="end"/>
            </w:r>
          </w:hyperlink>
        </w:p>
        <w:p w14:paraId="0DCA8269" w14:textId="77777777" w:rsidR="001B4AD8" w:rsidRPr="005A3C94" w:rsidRDefault="00DF1D13">
          <w:pPr>
            <w:pStyle w:val="TJ1"/>
            <w:tabs>
              <w:tab w:val="right" w:leader="dot" w:pos="9062"/>
            </w:tabs>
            <w:rPr>
              <w:rFonts w:eastAsiaTheme="minorEastAsia"/>
              <w:noProof/>
              <w:lang w:eastAsia="hu-HU"/>
            </w:rPr>
          </w:pPr>
          <w:hyperlink w:anchor="_Toc437242819" w:history="1">
            <w:r w:rsidR="001B4AD8" w:rsidRPr="005A3C94">
              <w:rPr>
                <w:rStyle w:val="Hiperhivatkozs"/>
                <w:rFonts w:ascii="Garamond" w:hAnsi="Garamond"/>
                <w:noProof/>
              </w:rPr>
              <w:t>A matematika-pilot program tanulói értékelésének eredményei</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_Toc437242819 \h </w:instrText>
            </w:r>
            <w:r w:rsidR="001B4AD8" w:rsidRPr="005A3C94">
              <w:rPr>
                <w:noProof/>
                <w:webHidden/>
              </w:rPr>
            </w:r>
            <w:r w:rsidR="001B4AD8" w:rsidRPr="005A3C94">
              <w:rPr>
                <w:noProof/>
                <w:webHidden/>
              </w:rPr>
              <w:fldChar w:fldCharType="separate"/>
            </w:r>
            <w:r w:rsidR="001B4AD8" w:rsidRPr="005A3C94">
              <w:rPr>
                <w:noProof/>
                <w:webHidden/>
              </w:rPr>
              <w:t>12</w:t>
            </w:r>
            <w:r w:rsidR="001B4AD8" w:rsidRPr="005A3C94">
              <w:rPr>
                <w:noProof/>
                <w:webHidden/>
              </w:rPr>
              <w:fldChar w:fldCharType="end"/>
            </w:r>
          </w:hyperlink>
        </w:p>
        <w:p w14:paraId="2CF9B948" w14:textId="77777777" w:rsidR="001B4AD8" w:rsidRPr="005A3C94" w:rsidRDefault="00DF1D13">
          <w:pPr>
            <w:pStyle w:val="TJ2"/>
            <w:tabs>
              <w:tab w:val="right" w:leader="dot" w:pos="9062"/>
            </w:tabs>
            <w:rPr>
              <w:rFonts w:eastAsiaTheme="minorEastAsia"/>
              <w:noProof/>
              <w:lang w:eastAsia="hu-HU"/>
            </w:rPr>
          </w:pPr>
          <w:hyperlink w:anchor="_Toc437242820" w:history="1">
            <w:r w:rsidR="001B4AD8" w:rsidRPr="005A3C94">
              <w:rPr>
                <w:rStyle w:val="Hiperhivatkozs"/>
                <w:noProof/>
              </w:rPr>
              <w:t>Énkép, szociális kompetencia, empátia, tanulási motiváció</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_Toc437242820 \h </w:instrText>
            </w:r>
            <w:r w:rsidR="001B4AD8" w:rsidRPr="005A3C94">
              <w:rPr>
                <w:noProof/>
                <w:webHidden/>
              </w:rPr>
            </w:r>
            <w:r w:rsidR="001B4AD8" w:rsidRPr="005A3C94">
              <w:rPr>
                <w:noProof/>
                <w:webHidden/>
              </w:rPr>
              <w:fldChar w:fldCharType="separate"/>
            </w:r>
            <w:r w:rsidR="001B4AD8" w:rsidRPr="005A3C94">
              <w:rPr>
                <w:noProof/>
                <w:webHidden/>
              </w:rPr>
              <w:t>12</w:t>
            </w:r>
            <w:r w:rsidR="001B4AD8" w:rsidRPr="005A3C94">
              <w:rPr>
                <w:noProof/>
                <w:webHidden/>
              </w:rPr>
              <w:fldChar w:fldCharType="end"/>
            </w:r>
          </w:hyperlink>
        </w:p>
        <w:p w14:paraId="0345CF69" w14:textId="77777777" w:rsidR="001B4AD8" w:rsidRPr="005A3C94" w:rsidRDefault="00DF1D13">
          <w:pPr>
            <w:pStyle w:val="TJ3"/>
            <w:tabs>
              <w:tab w:val="right" w:leader="dot" w:pos="9062"/>
            </w:tabs>
            <w:rPr>
              <w:rFonts w:eastAsiaTheme="minorEastAsia"/>
              <w:noProof/>
              <w:lang w:eastAsia="hu-HU"/>
            </w:rPr>
          </w:pPr>
          <w:hyperlink w:anchor="_Toc437242821" w:history="1">
            <w:r w:rsidR="001B4AD8" w:rsidRPr="005A3C94">
              <w:rPr>
                <w:rStyle w:val="Hiperhivatkozs"/>
                <w:noProof/>
              </w:rPr>
              <w:t>Énkép</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_Toc437242821 \h </w:instrText>
            </w:r>
            <w:r w:rsidR="001B4AD8" w:rsidRPr="005A3C94">
              <w:rPr>
                <w:noProof/>
                <w:webHidden/>
              </w:rPr>
            </w:r>
            <w:r w:rsidR="001B4AD8" w:rsidRPr="005A3C94">
              <w:rPr>
                <w:noProof/>
                <w:webHidden/>
              </w:rPr>
              <w:fldChar w:fldCharType="separate"/>
            </w:r>
            <w:r w:rsidR="001B4AD8" w:rsidRPr="005A3C94">
              <w:rPr>
                <w:noProof/>
                <w:webHidden/>
              </w:rPr>
              <w:t>13</w:t>
            </w:r>
            <w:r w:rsidR="001B4AD8" w:rsidRPr="005A3C94">
              <w:rPr>
                <w:noProof/>
                <w:webHidden/>
              </w:rPr>
              <w:fldChar w:fldCharType="end"/>
            </w:r>
          </w:hyperlink>
        </w:p>
        <w:p w14:paraId="283290DD" w14:textId="77777777" w:rsidR="001B4AD8" w:rsidRPr="005A3C94" w:rsidRDefault="00DF1D13">
          <w:pPr>
            <w:pStyle w:val="TJ3"/>
            <w:tabs>
              <w:tab w:val="right" w:leader="dot" w:pos="9062"/>
            </w:tabs>
            <w:rPr>
              <w:rFonts w:eastAsiaTheme="minorEastAsia"/>
              <w:noProof/>
              <w:lang w:eastAsia="hu-HU"/>
            </w:rPr>
          </w:pPr>
          <w:hyperlink w:anchor="_Toc437242822" w:history="1">
            <w:r w:rsidR="001B4AD8" w:rsidRPr="005A3C94">
              <w:rPr>
                <w:rStyle w:val="Hiperhivatkozs"/>
                <w:noProof/>
              </w:rPr>
              <w:t>Szociális képességek</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_Toc437242822 \h </w:instrText>
            </w:r>
            <w:r w:rsidR="001B4AD8" w:rsidRPr="005A3C94">
              <w:rPr>
                <w:noProof/>
                <w:webHidden/>
              </w:rPr>
            </w:r>
            <w:r w:rsidR="001B4AD8" w:rsidRPr="005A3C94">
              <w:rPr>
                <w:noProof/>
                <w:webHidden/>
              </w:rPr>
              <w:fldChar w:fldCharType="separate"/>
            </w:r>
            <w:r w:rsidR="001B4AD8" w:rsidRPr="005A3C94">
              <w:rPr>
                <w:noProof/>
                <w:webHidden/>
              </w:rPr>
              <w:t>13</w:t>
            </w:r>
            <w:r w:rsidR="001B4AD8" w:rsidRPr="005A3C94">
              <w:rPr>
                <w:noProof/>
                <w:webHidden/>
              </w:rPr>
              <w:fldChar w:fldCharType="end"/>
            </w:r>
          </w:hyperlink>
        </w:p>
        <w:p w14:paraId="36EC3E16" w14:textId="77777777" w:rsidR="001B4AD8" w:rsidRPr="005A3C94" w:rsidRDefault="00DF1D13">
          <w:pPr>
            <w:pStyle w:val="TJ3"/>
            <w:tabs>
              <w:tab w:val="right" w:leader="dot" w:pos="9062"/>
            </w:tabs>
            <w:rPr>
              <w:rFonts w:eastAsiaTheme="minorEastAsia"/>
              <w:noProof/>
              <w:lang w:eastAsia="hu-HU"/>
            </w:rPr>
          </w:pPr>
          <w:hyperlink w:anchor="_Toc437242823" w:history="1">
            <w:r w:rsidR="001B4AD8" w:rsidRPr="005A3C94">
              <w:rPr>
                <w:rStyle w:val="Hiperhivatkozs"/>
                <w:noProof/>
              </w:rPr>
              <w:t>Empátia</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_Toc437242823 \h </w:instrText>
            </w:r>
            <w:r w:rsidR="001B4AD8" w:rsidRPr="005A3C94">
              <w:rPr>
                <w:noProof/>
                <w:webHidden/>
              </w:rPr>
            </w:r>
            <w:r w:rsidR="001B4AD8" w:rsidRPr="005A3C94">
              <w:rPr>
                <w:noProof/>
                <w:webHidden/>
              </w:rPr>
              <w:fldChar w:fldCharType="separate"/>
            </w:r>
            <w:r w:rsidR="001B4AD8" w:rsidRPr="005A3C94">
              <w:rPr>
                <w:noProof/>
                <w:webHidden/>
              </w:rPr>
              <w:t>14</w:t>
            </w:r>
            <w:r w:rsidR="001B4AD8" w:rsidRPr="005A3C94">
              <w:rPr>
                <w:noProof/>
                <w:webHidden/>
              </w:rPr>
              <w:fldChar w:fldCharType="end"/>
            </w:r>
          </w:hyperlink>
        </w:p>
        <w:p w14:paraId="2016ADA2" w14:textId="77777777" w:rsidR="001B4AD8" w:rsidRPr="005A3C94" w:rsidRDefault="00DF1D13">
          <w:pPr>
            <w:pStyle w:val="TJ3"/>
            <w:tabs>
              <w:tab w:val="right" w:leader="dot" w:pos="9062"/>
            </w:tabs>
            <w:rPr>
              <w:rFonts w:eastAsiaTheme="minorEastAsia"/>
              <w:noProof/>
              <w:lang w:eastAsia="hu-HU"/>
            </w:rPr>
          </w:pPr>
          <w:hyperlink w:anchor="_Toc437242824" w:history="1">
            <w:r w:rsidR="001B4AD8" w:rsidRPr="005A3C94">
              <w:rPr>
                <w:rStyle w:val="Hiperhivatkozs"/>
                <w:noProof/>
              </w:rPr>
              <w:t>Tanulási motiváció</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_Toc437242824 \h </w:instrText>
            </w:r>
            <w:r w:rsidR="001B4AD8" w:rsidRPr="005A3C94">
              <w:rPr>
                <w:noProof/>
                <w:webHidden/>
              </w:rPr>
            </w:r>
            <w:r w:rsidR="001B4AD8" w:rsidRPr="005A3C94">
              <w:rPr>
                <w:noProof/>
                <w:webHidden/>
              </w:rPr>
              <w:fldChar w:fldCharType="separate"/>
            </w:r>
            <w:r w:rsidR="001B4AD8" w:rsidRPr="005A3C94">
              <w:rPr>
                <w:noProof/>
                <w:webHidden/>
              </w:rPr>
              <w:t>14</w:t>
            </w:r>
            <w:r w:rsidR="001B4AD8" w:rsidRPr="005A3C94">
              <w:rPr>
                <w:noProof/>
                <w:webHidden/>
              </w:rPr>
              <w:fldChar w:fldCharType="end"/>
            </w:r>
          </w:hyperlink>
        </w:p>
        <w:p w14:paraId="210FD8F3" w14:textId="77777777" w:rsidR="001B4AD8" w:rsidRPr="005A3C94" w:rsidRDefault="00DF1D13">
          <w:pPr>
            <w:pStyle w:val="TJ2"/>
            <w:tabs>
              <w:tab w:val="right" w:leader="dot" w:pos="9062"/>
            </w:tabs>
            <w:rPr>
              <w:rFonts w:eastAsiaTheme="minorEastAsia"/>
              <w:noProof/>
              <w:lang w:eastAsia="hu-HU"/>
            </w:rPr>
          </w:pPr>
          <w:hyperlink w:anchor="_Toc437242825" w:history="1">
            <w:r w:rsidR="001B4AD8" w:rsidRPr="005A3C94">
              <w:rPr>
                <w:rStyle w:val="Hiperhivatkozs"/>
                <w:noProof/>
              </w:rPr>
              <w:t>A szociális helyzet és a vizsgált jegyek összefüggése</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_Toc437242825 \h </w:instrText>
            </w:r>
            <w:r w:rsidR="001B4AD8" w:rsidRPr="005A3C94">
              <w:rPr>
                <w:noProof/>
                <w:webHidden/>
              </w:rPr>
            </w:r>
            <w:r w:rsidR="001B4AD8" w:rsidRPr="005A3C94">
              <w:rPr>
                <w:noProof/>
                <w:webHidden/>
              </w:rPr>
              <w:fldChar w:fldCharType="separate"/>
            </w:r>
            <w:r w:rsidR="001B4AD8" w:rsidRPr="005A3C94">
              <w:rPr>
                <w:noProof/>
                <w:webHidden/>
              </w:rPr>
              <w:t>15</w:t>
            </w:r>
            <w:r w:rsidR="001B4AD8" w:rsidRPr="005A3C94">
              <w:rPr>
                <w:noProof/>
                <w:webHidden/>
              </w:rPr>
              <w:fldChar w:fldCharType="end"/>
            </w:r>
          </w:hyperlink>
        </w:p>
        <w:p w14:paraId="7802A57C" w14:textId="77777777" w:rsidR="001B4AD8" w:rsidRPr="005A3C94" w:rsidRDefault="00DF1D13">
          <w:pPr>
            <w:pStyle w:val="TJ3"/>
            <w:tabs>
              <w:tab w:val="right" w:leader="dot" w:pos="9062"/>
            </w:tabs>
            <w:rPr>
              <w:rFonts w:eastAsiaTheme="minorEastAsia"/>
              <w:noProof/>
              <w:lang w:eastAsia="hu-HU"/>
            </w:rPr>
          </w:pPr>
          <w:hyperlink w:anchor="_Toc437242826" w:history="1">
            <w:r w:rsidR="001B4AD8" w:rsidRPr="005A3C94">
              <w:rPr>
                <w:rStyle w:val="Hiperhivatkozs"/>
                <w:noProof/>
              </w:rPr>
              <w:t>Módszertan</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_Toc437242826 \h </w:instrText>
            </w:r>
            <w:r w:rsidR="001B4AD8" w:rsidRPr="005A3C94">
              <w:rPr>
                <w:noProof/>
                <w:webHidden/>
              </w:rPr>
            </w:r>
            <w:r w:rsidR="001B4AD8" w:rsidRPr="005A3C94">
              <w:rPr>
                <w:noProof/>
                <w:webHidden/>
              </w:rPr>
              <w:fldChar w:fldCharType="separate"/>
            </w:r>
            <w:r w:rsidR="001B4AD8" w:rsidRPr="005A3C94">
              <w:rPr>
                <w:noProof/>
                <w:webHidden/>
              </w:rPr>
              <w:t>15</w:t>
            </w:r>
            <w:r w:rsidR="001B4AD8" w:rsidRPr="005A3C94">
              <w:rPr>
                <w:noProof/>
                <w:webHidden/>
              </w:rPr>
              <w:fldChar w:fldCharType="end"/>
            </w:r>
          </w:hyperlink>
        </w:p>
        <w:p w14:paraId="189383A1" w14:textId="77777777" w:rsidR="001B4AD8" w:rsidRPr="005A3C94" w:rsidRDefault="00DF1D13">
          <w:pPr>
            <w:pStyle w:val="TJ3"/>
            <w:tabs>
              <w:tab w:val="right" w:leader="dot" w:pos="9062"/>
            </w:tabs>
            <w:rPr>
              <w:rFonts w:eastAsiaTheme="minorEastAsia"/>
              <w:noProof/>
              <w:lang w:eastAsia="hu-HU"/>
            </w:rPr>
          </w:pPr>
          <w:hyperlink w:anchor="_Toc437242827" w:history="1">
            <w:r w:rsidR="001B4AD8" w:rsidRPr="005A3C94">
              <w:rPr>
                <w:rStyle w:val="Hiperhivatkozs"/>
                <w:noProof/>
              </w:rPr>
              <w:t>Elemzés</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_Toc437242827 \h </w:instrText>
            </w:r>
            <w:r w:rsidR="001B4AD8" w:rsidRPr="005A3C94">
              <w:rPr>
                <w:noProof/>
                <w:webHidden/>
              </w:rPr>
            </w:r>
            <w:r w:rsidR="001B4AD8" w:rsidRPr="005A3C94">
              <w:rPr>
                <w:noProof/>
                <w:webHidden/>
              </w:rPr>
              <w:fldChar w:fldCharType="separate"/>
            </w:r>
            <w:r w:rsidR="001B4AD8" w:rsidRPr="005A3C94">
              <w:rPr>
                <w:noProof/>
                <w:webHidden/>
              </w:rPr>
              <w:t>16</w:t>
            </w:r>
            <w:r w:rsidR="001B4AD8" w:rsidRPr="005A3C94">
              <w:rPr>
                <w:noProof/>
                <w:webHidden/>
              </w:rPr>
              <w:fldChar w:fldCharType="end"/>
            </w:r>
          </w:hyperlink>
        </w:p>
        <w:p w14:paraId="6E2D7B72" w14:textId="77777777" w:rsidR="001B4AD8" w:rsidRPr="005A3C94" w:rsidRDefault="00DF1D13">
          <w:pPr>
            <w:pStyle w:val="TJ2"/>
            <w:tabs>
              <w:tab w:val="left" w:pos="880"/>
              <w:tab w:val="right" w:leader="dot" w:pos="9062"/>
            </w:tabs>
            <w:rPr>
              <w:rFonts w:eastAsiaTheme="minorEastAsia"/>
              <w:noProof/>
              <w:lang w:eastAsia="hu-HU"/>
            </w:rPr>
          </w:pPr>
          <w:hyperlink w:anchor="_Toc437242828" w:history="1">
            <w:r w:rsidR="001B4AD8" w:rsidRPr="005A3C94">
              <w:rPr>
                <w:rStyle w:val="Hiperhivatkozs"/>
                <w:rFonts w:ascii="Times New Roman" w:hAnsi="Times New Roman" w:cs="Times New Roman"/>
                <w:noProof/>
              </w:rPr>
              <w:t>2.1.</w:t>
            </w:r>
            <w:r w:rsidR="001B4AD8" w:rsidRPr="005A3C94">
              <w:rPr>
                <w:rFonts w:eastAsiaTheme="minorEastAsia"/>
                <w:noProof/>
                <w:lang w:eastAsia="hu-HU"/>
              </w:rPr>
              <w:tab/>
            </w:r>
            <w:r w:rsidR="001B4AD8" w:rsidRPr="005A3C94">
              <w:rPr>
                <w:rStyle w:val="Hiperhivatkozs"/>
                <w:rFonts w:ascii="Times New Roman" w:hAnsi="Times New Roman" w:cs="Times New Roman"/>
                <w:noProof/>
              </w:rPr>
              <w:t>Olvasási képességek</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_Toc437242828 \h </w:instrText>
            </w:r>
            <w:r w:rsidR="001B4AD8" w:rsidRPr="005A3C94">
              <w:rPr>
                <w:noProof/>
                <w:webHidden/>
              </w:rPr>
            </w:r>
            <w:r w:rsidR="001B4AD8" w:rsidRPr="005A3C94">
              <w:rPr>
                <w:noProof/>
                <w:webHidden/>
              </w:rPr>
              <w:fldChar w:fldCharType="separate"/>
            </w:r>
            <w:r w:rsidR="001B4AD8" w:rsidRPr="005A3C94">
              <w:rPr>
                <w:noProof/>
                <w:webHidden/>
              </w:rPr>
              <w:t>22</w:t>
            </w:r>
            <w:r w:rsidR="001B4AD8" w:rsidRPr="005A3C94">
              <w:rPr>
                <w:noProof/>
                <w:webHidden/>
              </w:rPr>
              <w:fldChar w:fldCharType="end"/>
            </w:r>
          </w:hyperlink>
        </w:p>
        <w:p w14:paraId="61E5BAF3" w14:textId="77777777" w:rsidR="001B4AD8" w:rsidRPr="005A3C94" w:rsidRDefault="00DF1D13">
          <w:pPr>
            <w:pStyle w:val="TJ2"/>
            <w:tabs>
              <w:tab w:val="left" w:pos="880"/>
              <w:tab w:val="right" w:leader="dot" w:pos="9062"/>
            </w:tabs>
            <w:rPr>
              <w:rFonts w:eastAsiaTheme="minorEastAsia"/>
              <w:noProof/>
              <w:lang w:eastAsia="hu-HU"/>
            </w:rPr>
          </w:pPr>
          <w:hyperlink w:anchor="_Toc437242829" w:history="1">
            <w:r w:rsidR="001B4AD8" w:rsidRPr="005A3C94">
              <w:rPr>
                <w:rStyle w:val="Hiperhivatkozs"/>
                <w:rFonts w:ascii="Times New Roman" w:hAnsi="Times New Roman" w:cs="Times New Roman"/>
                <w:noProof/>
              </w:rPr>
              <w:t>2.2.</w:t>
            </w:r>
            <w:r w:rsidR="001B4AD8" w:rsidRPr="005A3C94">
              <w:rPr>
                <w:rFonts w:eastAsiaTheme="minorEastAsia"/>
                <w:noProof/>
                <w:lang w:eastAsia="hu-HU"/>
              </w:rPr>
              <w:tab/>
            </w:r>
            <w:r w:rsidR="001B4AD8" w:rsidRPr="005A3C94">
              <w:rPr>
                <w:rStyle w:val="Hiperhivatkozs"/>
                <w:rFonts w:ascii="Times New Roman" w:hAnsi="Times New Roman" w:cs="Times New Roman"/>
                <w:noProof/>
              </w:rPr>
              <w:t>Matematikai képességek</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_Toc437242829 \h </w:instrText>
            </w:r>
            <w:r w:rsidR="001B4AD8" w:rsidRPr="005A3C94">
              <w:rPr>
                <w:noProof/>
                <w:webHidden/>
              </w:rPr>
            </w:r>
            <w:r w:rsidR="001B4AD8" w:rsidRPr="005A3C94">
              <w:rPr>
                <w:noProof/>
                <w:webHidden/>
              </w:rPr>
              <w:fldChar w:fldCharType="separate"/>
            </w:r>
            <w:r w:rsidR="001B4AD8" w:rsidRPr="005A3C94">
              <w:rPr>
                <w:noProof/>
                <w:webHidden/>
              </w:rPr>
              <w:t>26</w:t>
            </w:r>
            <w:r w:rsidR="001B4AD8" w:rsidRPr="005A3C94">
              <w:rPr>
                <w:noProof/>
                <w:webHidden/>
              </w:rPr>
              <w:fldChar w:fldCharType="end"/>
            </w:r>
          </w:hyperlink>
        </w:p>
        <w:p w14:paraId="4541E3E7" w14:textId="77777777" w:rsidR="001B4AD8" w:rsidRPr="005A3C94" w:rsidRDefault="00DF1D13">
          <w:pPr>
            <w:pStyle w:val="TJ1"/>
            <w:tabs>
              <w:tab w:val="right" w:leader="dot" w:pos="9062"/>
            </w:tabs>
            <w:rPr>
              <w:rFonts w:eastAsiaTheme="minorEastAsia"/>
              <w:noProof/>
              <w:lang w:eastAsia="hu-HU"/>
            </w:rPr>
          </w:pPr>
          <w:hyperlink w:anchor="_Toc437242830" w:history="1">
            <w:r w:rsidR="001B4AD8" w:rsidRPr="005A3C94">
              <w:rPr>
                <w:rStyle w:val="Hiperhivatkozs"/>
                <w:rFonts w:ascii="Times New Roman" w:hAnsi="Times New Roman" w:cs="Times New Roman"/>
                <w:noProof/>
              </w:rPr>
              <w:t>A legfontosabb eredmények iskolánkénti bontásban</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_Toc437242830 \h </w:instrText>
            </w:r>
            <w:r w:rsidR="001B4AD8" w:rsidRPr="005A3C94">
              <w:rPr>
                <w:noProof/>
                <w:webHidden/>
              </w:rPr>
            </w:r>
            <w:r w:rsidR="001B4AD8" w:rsidRPr="005A3C94">
              <w:rPr>
                <w:noProof/>
                <w:webHidden/>
              </w:rPr>
              <w:fldChar w:fldCharType="separate"/>
            </w:r>
            <w:r w:rsidR="001B4AD8" w:rsidRPr="005A3C94">
              <w:rPr>
                <w:noProof/>
                <w:webHidden/>
              </w:rPr>
              <w:t>31</w:t>
            </w:r>
            <w:r w:rsidR="001B4AD8" w:rsidRPr="005A3C94">
              <w:rPr>
                <w:noProof/>
                <w:webHidden/>
              </w:rPr>
              <w:fldChar w:fldCharType="end"/>
            </w:r>
          </w:hyperlink>
        </w:p>
        <w:p w14:paraId="0BD0F6C7" w14:textId="77777777" w:rsidR="001B4AD8" w:rsidRPr="005A3C94" w:rsidRDefault="00DF1D13">
          <w:pPr>
            <w:pStyle w:val="TJ3"/>
            <w:tabs>
              <w:tab w:val="right" w:leader="dot" w:pos="9062"/>
            </w:tabs>
            <w:rPr>
              <w:rFonts w:eastAsiaTheme="minorEastAsia"/>
              <w:noProof/>
              <w:lang w:eastAsia="hu-HU"/>
            </w:rPr>
          </w:pPr>
          <w:hyperlink w:anchor="_Toc437242831" w:history="1">
            <w:r w:rsidR="001B4AD8" w:rsidRPr="005A3C94">
              <w:rPr>
                <w:rStyle w:val="Hiperhivatkozs"/>
                <w:noProof/>
              </w:rPr>
              <w:t>Énkép</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_Toc437242831 \h </w:instrText>
            </w:r>
            <w:r w:rsidR="001B4AD8" w:rsidRPr="005A3C94">
              <w:rPr>
                <w:noProof/>
                <w:webHidden/>
              </w:rPr>
            </w:r>
            <w:r w:rsidR="001B4AD8" w:rsidRPr="005A3C94">
              <w:rPr>
                <w:noProof/>
                <w:webHidden/>
              </w:rPr>
              <w:fldChar w:fldCharType="separate"/>
            </w:r>
            <w:r w:rsidR="001B4AD8" w:rsidRPr="005A3C94">
              <w:rPr>
                <w:noProof/>
                <w:webHidden/>
              </w:rPr>
              <w:t>31</w:t>
            </w:r>
            <w:r w:rsidR="001B4AD8" w:rsidRPr="005A3C94">
              <w:rPr>
                <w:noProof/>
                <w:webHidden/>
              </w:rPr>
              <w:fldChar w:fldCharType="end"/>
            </w:r>
          </w:hyperlink>
        </w:p>
        <w:p w14:paraId="6A97EC4F" w14:textId="77777777" w:rsidR="001B4AD8" w:rsidRPr="005A3C94" w:rsidRDefault="00DF1D13">
          <w:pPr>
            <w:pStyle w:val="TJ3"/>
            <w:tabs>
              <w:tab w:val="right" w:leader="dot" w:pos="9062"/>
            </w:tabs>
            <w:rPr>
              <w:rFonts w:eastAsiaTheme="minorEastAsia"/>
              <w:noProof/>
              <w:lang w:eastAsia="hu-HU"/>
            </w:rPr>
          </w:pPr>
          <w:hyperlink w:anchor="_Toc437242832" w:history="1">
            <w:r w:rsidR="001B4AD8" w:rsidRPr="005A3C94">
              <w:rPr>
                <w:rStyle w:val="Hiperhivatkozs"/>
                <w:noProof/>
              </w:rPr>
              <w:t>Szociális képességek</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_Toc437242832 \h </w:instrText>
            </w:r>
            <w:r w:rsidR="001B4AD8" w:rsidRPr="005A3C94">
              <w:rPr>
                <w:noProof/>
                <w:webHidden/>
              </w:rPr>
            </w:r>
            <w:r w:rsidR="001B4AD8" w:rsidRPr="005A3C94">
              <w:rPr>
                <w:noProof/>
                <w:webHidden/>
              </w:rPr>
              <w:fldChar w:fldCharType="separate"/>
            </w:r>
            <w:r w:rsidR="001B4AD8" w:rsidRPr="005A3C94">
              <w:rPr>
                <w:noProof/>
                <w:webHidden/>
              </w:rPr>
              <w:t>32</w:t>
            </w:r>
            <w:r w:rsidR="001B4AD8" w:rsidRPr="005A3C94">
              <w:rPr>
                <w:noProof/>
                <w:webHidden/>
              </w:rPr>
              <w:fldChar w:fldCharType="end"/>
            </w:r>
          </w:hyperlink>
        </w:p>
        <w:p w14:paraId="61517F7E" w14:textId="77777777" w:rsidR="001B4AD8" w:rsidRPr="005A3C94" w:rsidRDefault="00DF1D13">
          <w:pPr>
            <w:pStyle w:val="TJ3"/>
            <w:tabs>
              <w:tab w:val="right" w:leader="dot" w:pos="9062"/>
            </w:tabs>
            <w:rPr>
              <w:rFonts w:eastAsiaTheme="minorEastAsia"/>
              <w:noProof/>
              <w:lang w:eastAsia="hu-HU"/>
            </w:rPr>
          </w:pPr>
          <w:hyperlink w:anchor="_Toc437242833" w:history="1">
            <w:r w:rsidR="001B4AD8" w:rsidRPr="005A3C94">
              <w:rPr>
                <w:rStyle w:val="Hiperhivatkozs"/>
                <w:noProof/>
              </w:rPr>
              <w:t>Empátia</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_Toc437242833 \h </w:instrText>
            </w:r>
            <w:r w:rsidR="001B4AD8" w:rsidRPr="005A3C94">
              <w:rPr>
                <w:noProof/>
                <w:webHidden/>
              </w:rPr>
            </w:r>
            <w:r w:rsidR="001B4AD8" w:rsidRPr="005A3C94">
              <w:rPr>
                <w:noProof/>
                <w:webHidden/>
              </w:rPr>
              <w:fldChar w:fldCharType="separate"/>
            </w:r>
            <w:r w:rsidR="001B4AD8" w:rsidRPr="005A3C94">
              <w:rPr>
                <w:noProof/>
                <w:webHidden/>
              </w:rPr>
              <w:t>33</w:t>
            </w:r>
            <w:r w:rsidR="001B4AD8" w:rsidRPr="005A3C94">
              <w:rPr>
                <w:noProof/>
                <w:webHidden/>
              </w:rPr>
              <w:fldChar w:fldCharType="end"/>
            </w:r>
          </w:hyperlink>
        </w:p>
        <w:p w14:paraId="0E94FB17" w14:textId="77777777" w:rsidR="001B4AD8" w:rsidRPr="005A3C94" w:rsidRDefault="00DF1D13">
          <w:pPr>
            <w:pStyle w:val="TJ3"/>
            <w:tabs>
              <w:tab w:val="right" w:leader="dot" w:pos="9062"/>
            </w:tabs>
            <w:rPr>
              <w:rFonts w:eastAsiaTheme="minorEastAsia"/>
              <w:noProof/>
              <w:lang w:eastAsia="hu-HU"/>
            </w:rPr>
          </w:pPr>
          <w:hyperlink w:anchor="_Toc437242834" w:history="1">
            <w:r w:rsidR="001B4AD8" w:rsidRPr="005A3C94">
              <w:rPr>
                <w:rStyle w:val="Hiperhivatkozs"/>
                <w:noProof/>
              </w:rPr>
              <w:t>Tanulási motiváció</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_Toc437242834 \h </w:instrText>
            </w:r>
            <w:r w:rsidR="001B4AD8" w:rsidRPr="005A3C94">
              <w:rPr>
                <w:noProof/>
                <w:webHidden/>
              </w:rPr>
            </w:r>
            <w:r w:rsidR="001B4AD8" w:rsidRPr="005A3C94">
              <w:rPr>
                <w:noProof/>
                <w:webHidden/>
              </w:rPr>
              <w:fldChar w:fldCharType="separate"/>
            </w:r>
            <w:r w:rsidR="001B4AD8" w:rsidRPr="005A3C94">
              <w:rPr>
                <w:noProof/>
                <w:webHidden/>
              </w:rPr>
              <w:t>34</w:t>
            </w:r>
            <w:r w:rsidR="001B4AD8" w:rsidRPr="005A3C94">
              <w:rPr>
                <w:noProof/>
                <w:webHidden/>
              </w:rPr>
              <w:fldChar w:fldCharType="end"/>
            </w:r>
          </w:hyperlink>
        </w:p>
        <w:p w14:paraId="04714D91" w14:textId="77777777" w:rsidR="001B4AD8" w:rsidRPr="005A3C94" w:rsidRDefault="00DF1D13">
          <w:pPr>
            <w:pStyle w:val="TJ3"/>
            <w:tabs>
              <w:tab w:val="right" w:leader="dot" w:pos="9062"/>
            </w:tabs>
            <w:rPr>
              <w:rFonts w:eastAsiaTheme="minorEastAsia"/>
              <w:noProof/>
              <w:lang w:eastAsia="hu-HU"/>
            </w:rPr>
          </w:pPr>
          <w:hyperlink w:anchor="_Toc437242835" w:history="1">
            <w:r w:rsidR="001B4AD8" w:rsidRPr="005A3C94">
              <w:rPr>
                <w:rStyle w:val="Hiperhivatkozs"/>
                <w:noProof/>
              </w:rPr>
              <w:t>Olvasási kiépültség</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_Toc437242835 \h </w:instrText>
            </w:r>
            <w:r w:rsidR="001B4AD8" w:rsidRPr="005A3C94">
              <w:rPr>
                <w:noProof/>
                <w:webHidden/>
              </w:rPr>
            </w:r>
            <w:r w:rsidR="001B4AD8" w:rsidRPr="005A3C94">
              <w:rPr>
                <w:noProof/>
                <w:webHidden/>
              </w:rPr>
              <w:fldChar w:fldCharType="separate"/>
            </w:r>
            <w:r w:rsidR="001B4AD8" w:rsidRPr="005A3C94">
              <w:rPr>
                <w:noProof/>
                <w:webHidden/>
              </w:rPr>
              <w:t>35</w:t>
            </w:r>
            <w:r w:rsidR="001B4AD8" w:rsidRPr="005A3C94">
              <w:rPr>
                <w:noProof/>
                <w:webHidden/>
              </w:rPr>
              <w:fldChar w:fldCharType="end"/>
            </w:r>
          </w:hyperlink>
        </w:p>
        <w:p w14:paraId="09B96D99" w14:textId="77777777" w:rsidR="001B4AD8" w:rsidRPr="005A3C94" w:rsidRDefault="00DF1D13">
          <w:pPr>
            <w:pStyle w:val="TJ3"/>
            <w:tabs>
              <w:tab w:val="right" w:leader="dot" w:pos="9062"/>
            </w:tabs>
            <w:rPr>
              <w:rFonts w:eastAsiaTheme="minorEastAsia"/>
              <w:noProof/>
              <w:lang w:eastAsia="hu-HU"/>
            </w:rPr>
          </w:pPr>
          <w:hyperlink w:anchor="_Toc437242836" w:history="1">
            <w:r w:rsidR="001B4AD8" w:rsidRPr="005A3C94">
              <w:rPr>
                <w:rStyle w:val="Hiperhivatkozs"/>
                <w:noProof/>
              </w:rPr>
              <w:t>Matematika eredmények</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_Toc437242836 \h </w:instrText>
            </w:r>
            <w:r w:rsidR="001B4AD8" w:rsidRPr="005A3C94">
              <w:rPr>
                <w:noProof/>
                <w:webHidden/>
              </w:rPr>
            </w:r>
            <w:r w:rsidR="001B4AD8" w:rsidRPr="005A3C94">
              <w:rPr>
                <w:noProof/>
                <w:webHidden/>
              </w:rPr>
              <w:fldChar w:fldCharType="separate"/>
            </w:r>
            <w:r w:rsidR="001B4AD8" w:rsidRPr="005A3C94">
              <w:rPr>
                <w:noProof/>
                <w:webHidden/>
              </w:rPr>
              <w:t>36</w:t>
            </w:r>
            <w:r w:rsidR="001B4AD8" w:rsidRPr="005A3C94">
              <w:rPr>
                <w:noProof/>
                <w:webHidden/>
              </w:rPr>
              <w:fldChar w:fldCharType="end"/>
            </w:r>
          </w:hyperlink>
        </w:p>
        <w:p w14:paraId="29AE49B8" w14:textId="77777777" w:rsidR="001B4AD8" w:rsidRPr="005A3C94" w:rsidRDefault="00DF1D13">
          <w:pPr>
            <w:pStyle w:val="TJ1"/>
            <w:tabs>
              <w:tab w:val="right" w:leader="dot" w:pos="9062"/>
            </w:tabs>
            <w:rPr>
              <w:rFonts w:eastAsiaTheme="minorEastAsia"/>
              <w:noProof/>
              <w:lang w:eastAsia="hu-HU"/>
            </w:rPr>
          </w:pPr>
          <w:hyperlink w:anchor="_Toc437242837" w:history="1">
            <w:r w:rsidR="001B4AD8" w:rsidRPr="005A3C94">
              <w:rPr>
                <w:rStyle w:val="Hiperhivatkozs"/>
                <w:noProof/>
              </w:rPr>
              <w:t>A tanulási motiváció és az empátia vizsgálata egy-egy kiemelt állításon keresztül</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_Toc437242837 \h </w:instrText>
            </w:r>
            <w:r w:rsidR="001B4AD8" w:rsidRPr="005A3C94">
              <w:rPr>
                <w:noProof/>
                <w:webHidden/>
              </w:rPr>
            </w:r>
            <w:r w:rsidR="001B4AD8" w:rsidRPr="005A3C94">
              <w:rPr>
                <w:noProof/>
                <w:webHidden/>
              </w:rPr>
              <w:fldChar w:fldCharType="separate"/>
            </w:r>
            <w:r w:rsidR="001B4AD8" w:rsidRPr="005A3C94">
              <w:rPr>
                <w:noProof/>
                <w:webHidden/>
              </w:rPr>
              <w:t>37</w:t>
            </w:r>
            <w:r w:rsidR="001B4AD8" w:rsidRPr="005A3C94">
              <w:rPr>
                <w:noProof/>
                <w:webHidden/>
              </w:rPr>
              <w:fldChar w:fldCharType="end"/>
            </w:r>
          </w:hyperlink>
        </w:p>
        <w:p w14:paraId="1E4EE818" w14:textId="77777777" w:rsidR="001B4AD8" w:rsidRPr="005A3C94" w:rsidRDefault="00DF1D13">
          <w:pPr>
            <w:pStyle w:val="TJ3"/>
            <w:tabs>
              <w:tab w:val="right" w:leader="dot" w:pos="9062"/>
            </w:tabs>
            <w:rPr>
              <w:rFonts w:eastAsiaTheme="minorEastAsia"/>
              <w:noProof/>
              <w:lang w:eastAsia="hu-HU"/>
            </w:rPr>
          </w:pPr>
          <w:hyperlink w:anchor="_Toc437242838" w:history="1">
            <w:r w:rsidR="001B4AD8" w:rsidRPr="005A3C94">
              <w:rPr>
                <w:rStyle w:val="Hiperhivatkozs"/>
                <w:noProof/>
              </w:rPr>
              <w:t>„Csak azt tanulom meg, ami érdekel” – Tanulási motiváció</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_Toc437242838 \h </w:instrText>
            </w:r>
            <w:r w:rsidR="001B4AD8" w:rsidRPr="005A3C94">
              <w:rPr>
                <w:noProof/>
                <w:webHidden/>
              </w:rPr>
            </w:r>
            <w:r w:rsidR="001B4AD8" w:rsidRPr="005A3C94">
              <w:rPr>
                <w:noProof/>
                <w:webHidden/>
              </w:rPr>
              <w:fldChar w:fldCharType="separate"/>
            </w:r>
            <w:r w:rsidR="001B4AD8" w:rsidRPr="005A3C94">
              <w:rPr>
                <w:noProof/>
                <w:webHidden/>
              </w:rPr>
              <w:t>37</w:t>
            </w:r>
            <w:r w:rsidR="001B4AD8" w:rsidRPr="005A3C94">
              <w:rPr>
                <w:noProof/>
                <w:webHidden/>
              </w:rPr>
              <w:fldChar w:fldCharType="end"/>
            </w:r>
          </w:hyperlink>
        </w:p>
        <w:p w14:paraId="542AA8CD" w14:textId="77777777" w:rsidR="001B4AD8" w:rsidRPr="005A3C94" w:rsidRDefault="00DF1D13">
          <w:pPr>
            <w:pStyle w:val="TJ1"/>
            <w:tabs>
              <w:tab w:val="right" w:leader="dot" w:pos="9062"/>
            </w:tabs>
            <w:rPr>
              <w:rFonts w:eastAsiaTheme="minorEastAsia"/>
              <w:noProof/>
              <w:lang w:eastAsia="hu-HU"/>
            </w:rPr>
          </w:pPr>
          <w:hyperlink w:anchor="_Toc437242839" w:history="1">
            <w:r w:rsidR="001B4AD8" w:rsidRPr="005A3C94">
              <w:rPr>
                <w:rStyle w:val="Hiperhivatkozs"/>
                <w:rFonts w:ascii="Times New Roman" w:hAnsi="Times New Roman" w:cs="Times New Roman"/>
                <w:noProof/>
              </w:rPr>
              <w:t>Összefoglalás</w:t>
            </w:r>
            <w:r w:rsidR="001B4AD8" w:rsidRPr="005A3C94">
              <w:rPr>
                <w:noProof/>
                <w:webHidden/>
              </w:rPr>
              <w:tab/>
            </w:r>
            <w:r w:rsidR="001B4AD8" w:rsidRPr="005A3C94">
              <w:rPr>
                <w:noProof/>
                <w:webHidden/>
              </w:rPr>
              <w:fldChar w:fldCharType="begin"/>
            </w:r>
            <w:r w:rsidR="001B4AD8" w:rsidRPr="005A3C94">
              <w:rPr>
                <w:noProof/>
                <w:webHidden/>
              </w:rPr>
              <w:instrText xml:space="preserve"> PAGEREF _Toc437242839 \h </w:instrText>
            </w:r>
            <w:r w:rsidR="001B4AD8" w:rsidRPr="005A3C94">
              <w:rPr>
                <w:noProof/>
                <w:webHidden/>
              </w:rPr>
            </w:r>
            <w:r w:rsidR="001B4AD8" w:rsidRPr="005A3C94">
              <w:rPr>
                <w:noProof/>
                <w:webHidden/>
              </w:rPr>
              <w:fldChar w:fldCharType="separate"/>
            </w:r>
            <w:r w:rsidR="001B4AD8" w:rsidRPr="005A3C94">
              <w:rPr>
                <w:noProof/>
                <w:webHidden/>
              </w:rPr>
              <w:t>41</w:t>
            </w:r>
            <w:r w:rsidR="001B4AD8" w:rsidRPr="005A3C94">
              <w:rPr>
                <w:noProof/>
                <w:webHidden/>
              </w:rPr>
              <w:fldChar w:fldCharType="end"/>
            </w:r>
          </w:hyperlink>
        </w:p>
        <w:p w14:paraId="43F1BA78" w14:textId="5703AF6F" w:rsidR="000B6DAE" w:rsidRPr="005A3C94" w:rsidRDefault="000B6DAE">
          <w:r w:rsidRPr="005A3C94">
            <w:rPr>
              <w:b/>
              <w:bCs/>
            </w:rPr>
            <w:fldChar w:fldCharType="end"/>
          </w:r>
        </w:p>
      </w:sdtContent>
    </w:sdt>
    <w:p w14:paraId="799B7CAA" w14:textId="77777777" w:rsidR="000B6DAE" w:rsidRPr="005A3C94" w:rsidRDefault="000B6DAE">
      <w:pPr>
        <w:rPr>
          <w:rFonts w:asciiTheme="majorHAnsi" w:eastAsiaTheme="majorEastAsia" w:hAnsiTheme="majorHAnsi" w:cstheme="majorBidi"/>
          <w:color w:val="2E74B5" w:themeColor="accent1" w:themeShade="BF"/>
          <w:sz w:val="32"/>
          <w:szCs w:val="32"/>
        </w:rPr>
      </w:pPr>
      <w:r w:rsidRPr="005A3C94">
        <w:br w:type="page"/>
      </w:r>
    </w:p>
    <w:p w14:paraId="6EAB09E9" w14:textId="04DF1A7A" w:rsidR="00DB396A" w:rsidRPr="005A3C94" w:rsidRDefault="00DB396A" w:rsidP="00B57649">
      <w:pPr>
        <w:pStyle w:val="Cmsor1"/>
        <w:rPr>
          <w:rFonts w:ascii="Garamond" w:hAnsi="Garamond"/>
        </w:rPr>
      </w:pPr>
      <w:bookmarkStart w:id="0" w:name="_Toc437242811"/>
      <w:r w:rsidRPr="005A3C94">
        <w:rPr>
          <w:rFonts w:ascii="Garamond" w:hAnsi="Garamond"/>
        </w:rPr>
        <w:lastRenderedPageBreak/>
        <w:t>Bevezet</w:t>
      </w:r>
      <w:r w:rsidR="00031A4F" w:rsidRPr="005A3C94">
        <w:rPr>
          <w:rFonts w:ascii="Garamond" w:hAnsi="Garamond"/>
        </w:rPr>
        <w:t>és</w:t>
      </w:r>
      <w:bookmarkEnd w:id="0"/>
    </w:p>
    <w:p w14:paraId="4B747404" w14:textId="77777777" w:rsidR="00031A4F" w:rsidRPr="005A3C94" w:rsidRDefault="00031A4F" w:rsidP="00031A4F"/>
    <w:p w14:paraId="25FEFE4C" w14:textId="77777777" w:rsidR="00031A4F" w:rsidRPr="005A3C94" w:rsidRDefault="00031A4F" w:rsidP="00031A4F">
      <w:pPr>
        <w:jc w:val="both"/>
        <w:rPr>
          <w:rFonts w:ascii="Times New Roman" w:hAnsi="Times New Roman" w:cs="Times New Roman"/>
          <w:sz w:val="24"/>
          <w:szCs w:val="24"/>
        </w:rPr>
      </w:pPr>
      <w:r w:rsidRPr="005A3C94">
        <w:rPr>
          <w:rFonts w:ascii="Times New Roman" w:hAnsi="Times New Roman" w:cs="Times New Roman"/>
          <w:sz w:val="24"/>
          <w:szCs w:val="24"/>
        </w:rPr>
        <w:t xml:space="preserve">Napjainkban sok európai uniós tagállam közoktatása küszködik a tanulók körében tapasztalható alacsony tanulási motivációval. Az ebből adódó alacsony teljesítményszint Európa szerte akkut probléma, különösen a többségében szociálisan hátrányos helyzetű tanulókat nevelő-oktató intézményekben. </w:t>
      </w:r>
    </w:p>
    <w:p w14:paraId="426E60D5" w14:textId="426E6E86" w:rsidR="00031A4F" w:rsidRPr="005A3C94" w:rsidRDefault="00031A4F" w:rsidP="00031A4F">
      <w:pPr>
        <w:jc w:val="both"/>
        <w:rPr>
          <w:rFonts w:ascii="Times New Roman" w:hAnsi="Times New Roman" w:cs="Times New Roman"/>
          <w:sz w:val="24"/>
          <w:szCs w:val="24"/>
        </w:rPr>
      </w:pPr>
      <w:r w:rsidRPr="005A3C94">
        <w:rPr>
          <w:rFonts w:ascii="Times New Roman" w:hAnsi="Times New Roman" w:cs="Times New Roman"/>
          <w:sz w:val="24"/>
          <w:szCs w:val="24"/>
        </w:rPr>
        <w:t>E problémák kezelésére sikere</w:t>
      </w:r>
      <w:r w:rsidR="000A602C" w:rsidRPr="005A3C94">
        <w:rPr>
          <w:rFonts w:ascii="Times New Roman" w:hAnsi="Times New Roman" w:cs="Times New Roman"/>
          <w:sz w:val="24"/>
          <w:szCs w:val="24"/>
        </w:rPr>
        <w:t>s válasz adható az ún. Kreatív P</w:t>
      </w:r>
      <w:r w:rsidRPr="005A3C94">
        <w:rPr>
          <w:rFonts w:ascii="Times New Roman" w:hAnsi="Times New Roman" w:cs="Times New Roman"/>
          <w:sz w:val="24"/>
          <w:szCs w:val="24"/>
        </w:rPr>
        <w:t xml:space="preserve">artnerség program módszertanának alkalmazásával, amelyet az Egyesült Királyságban fejlesztettek ki, s amelyet azóta is több országban alkalmaznak, jelenleg Litvániában, Norvégiában, Németországban és Csehországban. Magyarországon a 2013/14-es tanév óta a Pécsi Tudományegyetem Művészeti Karának és a </w:t>
      </w:r>
      <w:proofErr w:type="spellStart"/>
      <w:r w:rsidRPr="005A3C94">
        <w:rPr>
          <w:rFonts w:ascii="Times New Roman" w:hAnsi="Times New Roman" w:cs="Times New Roman"/>
          <w:sz w:val="24"/>
          <w:szCs w:val="24"/>
        </w:rPr>
        <w:t>T-Tudok</w:t>
      </w:r>
      <w:proofErr w:type="spellEnd"/>
      <w:r w:rsidRPr="005A3C94">
        <w:rPr>
          <w:rFonts w:ascii="Times New Roman" w:hAnsi="Times New Roman" w:cs="Times New Roman"/>
          <w:sz w:val="24"/>
          <w:szCs w:val="24"/>
        </w:rPr>
        <w:t xml:space="preserve"> Tudásmenedzsment és Oktatáskutató Központ </w:t>
      </w:r>
      <w:proofErr w:type="spellStart"/>
      <w:r w:rsidRPr="005A3C94">
        <w:rPr>
          <w:rFonts w:ascii="Times New Roman" w:hAnsi="Times New Roman" w:cs="Times New Roman"/>
          <w:sz w:val="24"/>
          <w:szCs w:val="24"/>
        </w:rPr>
        <w:t>Zrt-nek</w:t>
      </w:r>
      <w:proofErr w:type="spellEnd"/>
      <w:r w:rsidRPr="005A3C94">
        <w:rPr>
          <w:rFonts w:ascii="Times New Roman" w:hAnsi="Times New Roman" w:cs="Times New Roman"/>
          <w:sz w:val="24"/>
          <w:szCs w:val="24"/>
        </w:rPr>
        <w:t xml:space="preserve"> együttműködésében kísérleti jelleggel indult el a program, a pécsi Budai-városkapu Általános Iskola</w:t>
      </w:r>
      <w:r w:rsidR="000A602C" w:rsidRPr="005A3C94">
        <w:rPr>
          <w:rFonts w:ascii="Times New Roman" w:hAnsi="Times New Roman" w:cs="Times New Roman"/>
          <w:sz w:val="24"/>
          <w:szCs w:val="24"/>
        </w:rPr>
        <w:t>, Szakiskola, Speciális Szakiskola és Alapfokú Művészeti Iskola</w:t>
      </w:r>
      <w:r w:rsidRPr="005A3C94">
        <w:rPr>
          <w:rFonts w:ascii="Times New Roman" w:hAnsi="Times New Roman" w:cs="Times New Roman"/>
          <w:sz w:val="24"/>
          <w:szCs w:val="24"/>
        </w:rPr>
        <w:t xml:space="preserve"> hét tagintézményében. A program azóta is sikeresen folyik, s eddig két etapban, összesen 300 tanuló, 42 tanár és 14 művész vett benne részt. </w:t>
      </w:r>
      <w:r w:rsidR="000A602C" w:rsidRPr="005A3C94">
        <w:rPr>
          <w:rFonts w:ascii="Times New Roman" w:hAnsi="Times New Roman" w:cs="Times New Roman"/>
          <w:sz w:val="24"/>
          <w:szCs w:val="24"/>
        </w:rPr>
        <w:t xml:space="preserve">A Kreatív Partnerség programot </w:t>
      </w:r>
      <w:r w:rsidRPr="005A3C94">
        <w:rPr>
          <w:rFonts w:ascii="Times New Roman" w:hAnsi="Times New Roman" w:cs="Times New Roman"/>
          <w:sz w:val="24"/>
          <w:szCs w:val="24"/>
        </w:rPr>
        <w:t>2015-ben az Oktatási Hi</w:t>
      </w:r>
      <w:r w:rsidR="00801522" w:rsidRPr="005A3C94">
        <w:rPr>
          <w:rFonts w:ascii="Times New Roman" w:hAnsi="Times New Roman" w:cs="Times New Roman"/>
          <w:sz w:val="24"/>
          <w:szCs w:val="24"/>
        </w:rPr>
        <w:t>vatal beválasztotta az ún. regionális oktatási mintamodellek</w:t>
      </w:r>
      <w:r w:rsidRPr="005A3C94">
        <w:rPr>
          <w:rFonts w:ascii="Times New Roman" w:hAnsi="Times New Roman" w:cs="Times New Roman"/>
          <w:sz w:val="24"/>
          <w:szCs w:val="24"/>
        </w:rPr>
        <w:t xml:space="preserve"> közé</w:t>
      </w:r>
      <w:r w:rsidR="000A602C" w:rsidRPr="005A3C94">
        <w:rPr>
          <w:rFonts w:ascii="Times New Roman" w:hAnsi="Times New Roman" w:cs="Times New Roman"/>
          <w:sz w:val="24"/>
          <w:szCs w:val="24"/>
        </w:rPr>
        <w:t>, a Klebelsberg Intézményfenntartó Központ pedig az ún. Szervezeti párbeszéd program intézményi jó gyakorlatai közé.</w:t>
      </w:r>
    </w:p>
    <w:p w14:paraId="2BE94D11" w14:textId="31C00B51" w:rsidR="00842B4F" w:rsidRPr="005A3C94" w:rsidRDefault="00031A4F" w:rsidP="00031A4F">
      <w:pPr>
        <w:jc w:val="both"/>
        <w:rPr>
          <w:rFonts w:ascii="Times New Roman" w:hAnsi="Times New Roman" w:cs="Times New Roman"/>
          <w:sz w:val="24"/>
          <w:szCs w:val="24"/>
        </w:rPr>
      </w:pPr>
      <w:r w:rsidRPr="005A3C94">
        <w:rPr>
          <w:rFonts w:ascii="Times New Roman" w:hAnsi="Times New Roman" w:cs="Times New Roman"/>
          <w:sz w:val="24"/>
          <w:szCs w:val="24"/>
        </w:rPr>
        <w:t xml:space="preserve">A Kreatív Partnerség középpontjában a kreatív szakemberek és iskolák közötti hosszú távú kapcsolat áll. A különféle </w:t>
      </w:r>
      <w:r w:rsidR="00801522" w:rsidRPr="005A3C94">
        <w:rPr>
          <w:rFonts w:ascii="Times New Roman" w:hAnsi="Times New Roman" w:cs="Times New Roman"/>
          <w:sz w:val="24"/>
          <w:szCs w:val="24"/>
        </w:rPr>
        <w:t xml:space="preserve">(művészeti) </w:t>
      </w:r>
      <w:r w:rsidRPr="005A3C94">
        <w:rPr>
          <w:rFonts w:ascii="Times New Roman" w:hAnsi="Times New Roman" w:cs="Times New Roman"/>
          <w:sz w:val="24"/>
          <w:szCs w:val="24"/>
        </w:rPr>
        <w:t xml:space="preserve">területekről érkező szakemberek segítségével a diákok más típusú tudást és képességeket sajátítanak el. A művészek újszerű elvárásokat fogalmaznak meg, ami egyértelműen kihívást jelent a diákok számára. De nemcsak a gyerekek tanulnak és zökkennek ki a napi rutinból az ilyen típusú tanulási folyamat során, hanem az iskolák is. A Kreatív Partnerség egy olyan pedagógiai megközelítést dolgozott ki, ún. “jól működő osztályterem” elnevezéssel, amely arra bátorítja a tanárokat, hogy úgy alakítsák át osztálytermi munkájukat, hogy a tanórák olyan kihívásokkal legyenek teljesek, ahol a tanulás valós élethelyzetekhez köthető; ahol a tanulók mind fizikailag, mind szociálisan, mind érzelmileg </w:t>
      </w:r>
      <w:r w:rsidR="005D3E3C" w:rsidRPr="005A3C94">
        <w:rPr>
          <w:rFonts w:ascii="Times New Roman" w:hAnsi="Times New Roman" w:cs="Times New Roman"/>
          <w:sz w:val="24"/>
          <w:szCs w:val="24"/>
        </w:rPr>
        <w:t>és</w:t>
      </w:r>
      <w:r w:rsidR="00801522" w:rsidRPr="005A3C94">
        <w:rPr>
          <w:rFonts w:ascii="Times New Roman" w:hAnsi="Times New Roman" w:cs="Times New Roman"/>
          <w:sz w:val="24"/>
          <w:szCs w:val="24"/>
        </w:rPr>
        <w:t xml:space="preserve"> intellektuálisan is </w:t>
      </w:r>
      <w:r w:rsidRPr="005A3C94">
        <w:rPr>
          <w:rFonts w:ascii="Times New Roman" w:hAnsi="Times New Roman" w:cs="Times New Roman"/>
          <w:sz w:val="24"/>
          <w:szCs w:val="24"/>
        </w:rPr>
        <w:t xml:space="preserve">lefoglaltak; s ahol a tanuló saját élményei, megfigyelései és kérdései központi helyet foglalnak el.  A tanulás-tanítás átalakításához művészeti, kreatív alkotási folyamatokat vesznek alapul, ezeket csatornázzák be a tanórai és az iskolai életbe; illetve a szaktárgyi tanításhoz fűződő módszertani technikákat a művészeti gyakorlatból származtatják. Az osztályteremben, iskolai terekben tanulókkal dolgozva a művész </w:t>
      </w:r>
      <w:proofErr w:type="spellStart"/>
      <w:r w:rsidRPr="005A3C94">
        <w:rPr>
          <w:rFonts w:ascii="Times New Roman" w:hAnsi="Times New Roman" w:cs="Times New Roman"/>
          <w:sz w:val="24"/>
          <w:szCs w:val="24"/>
        </w:rPr>
        <w:t>művész</w:t>
      </w:r>
      <w:proofErr w:type="spellEnd"/>
      <w:r w:rsidRPr="005A3C94">
        <w:rPr>
          <w:rFonts w:ascii="Times New Roman" w:hAnsi="Times New Roman" w:cs="Times New Roman"/>
          <w:sz w:val="24"/>
          <w:szCs w:val="24"/>
        </w:rPr>
        <w:t xml:space="preserve"> marad, a pedagógus pedig pedagógus. A program nem művészeti nevelést kínál.  A Kreatív Partnerség program ugyanis arra készíti fel a művészeket, hogy úgy dolgozzanak a tanárokkal és a tanulókkal, hogy fenntartható változást érjenek el a tanárok addigi tanítási gyakorlatában. </w:t>
      </w:r>
    </w:p>
    <w:p w14:paraId="1F85AE96" w14:textId="303E3F79" w:rsidR="00031A4F" w:rsidRPr="005A3C94" w:rsidRDefault="00031A4F" w:rsidP="00031A4F">
      <w:pPr>
        <w:jc w:val="both"/>
        <w:rPr>
          <w:rFonts w:ascii="Times New Roman" w:hAnsi="Times New Roman" w:cs="Times New Roman"/>
          <w:sz w:val="24"/>
          <w:szCs w:val="24"/>
        </w:rPr>
      </w:pPr>
      <w:r w:rsidRPr="005A3C94">
        <w:rPr>
          <w:rFonts w:ascii="Times New Roman" w:hAnsi="Times New Roman" w:cs="Times New Roman"/>
          <w:sz w:val="24"/>
          <w:szCs w:val="24"/>
        </w:rPr>
        <w:t>A művészek osztálytermi munkáját nemrégiben átfogó vizsgálatnak vetette alá a Cambridge-i Egyetem</w:t>
      </w:r>
      <w:r w:rsidRPr="005A3C94">
        <w:rPr>
          <w:rStyle w:val="Lbjegyzet-hivatkozs"/>
          <w:rFonts w:ascii="Times New Roman" w:hAnsi="Times New Roman" w:cs="Times New Roman"/>
          <w:sz w:val="24"/>
          <w:szCs w:val="24"/>
        </w:rPr>
        <w:footnoteReference w:id="1"/>
      </w:r>
      <w:r w:rsidRPr="005A3C94">
        <w:rPr>
          <w:rFonts w:ascii="Times New Roman" w:hAnsi="Times New Roman" w:cs="Times New Roman"/>
          <w:sz w:val="24"/>
          <w:szCs w:val="24"/>
        </w:rPr>
        <w:t xml:space="preserve"> és a </w:t>
      </w:r>
      <w:proofErr w:type="spellStart"/>
      <w:r w:rsidRPr="005A3C94">
        <w:rPr>
          <w:rFonts w:ascii="Times New Roman" w:hAnsi="Times New Roman" w:cs="Times New Roman"/>
          <w:sz w:val="24"/>
          <w:szCs w:val="24"/>
        </w:rPr>
        <w:t>Nottingham-i</w:t>
      </w:r>
      <w:proofErr w:type="spellEnd"/>
      <w:r w:rsidRPr="005A3C94">
        <w:rPr>
          <w:rFonts w:ascii="Times New Roman" w:hAnsi="Times New Roman" w:cs="Times New Roman"/>
          <w:sz w:val="24"/>
          <w:szCs w:val="24"/>
        </w:rPr>
        <w:t xml:space="preserve"> Egyetem</w:t>
      </w:r>
      <w:r w:rsidRPr="005A3C94">
        <w:rPr>
          <w:rStyle w:val="Lbjegyzet-hivatkozs"/>
          <w:rFonts w:ascii="Times New Roman" w:hAnsi="Times New Roman" w:cs="Times New Roman"/>
          <w:sz w:val="24"/>
          <w:szCs w:val="24"/>
        </w:rPr>
        <w:footnoteReference w:id="2"/>
      </w:r>
      <w:r w:rsidRPr="005A3C94">
        <w:rPr>
          <w:rFonts w:ascii="Times New Roman" w:hAnsi="Times New Roman" w:cs="Times New Roman"/>
          <w:sz w:val="24"/>
          <w:szCs w:val="24"/>
        </w:rPr>
        <w:t xml:space="preserve"> kutatócsapata. Az ő kutatási jelentéseik egyértelműen bizonyítják, hogy a művészek olyan hatékony pedagógiai technikákat alkalmaznak, amelyeket a tanárok is könnyen átvesznek, és azonnal beépítenek a hétköznapi munkájukba. Ez a </w:t>
      </w:r>
      <w:r w:rsidRPr="005A3C94">
        <w:rPr>
          <w:rFonts w:ascii="Times New Roman" w:hAnsi="Times New Roman" w:cs="Times New Roman"/>
          <w:sz w:val="24"/>
          <w:szCs w:val="24"/>
        </w:rPr>
        <w:lastRenderedPageBreak/>
        <w:t xml:space="preserve">pedagógiai gyakorlat állt – a kutatási eredmények által bizonyítottan – a mért pozitív tanulói motiváció-, és teljesítmény-, valamint viselkedésváltozás mögött. </w:t>
      </w:r>
    </w:p>
    <w:p w14:paraId="7781F2FC" w14:textId="77777777" w:rsidR="005F1425" w:rsidRPr="005A3C94" w:rsidRDefault="005F1425" w:rsidP="00031A4F">
      <w:pPr>
        <w:jc w:val="both"/>
        <w:rPr>
          <w:rFonts w:ascii="Times New Roman" w:hAnsi="Times New Roman" w:cs="Times New Roman"/>
          <w:iCs/>
          <w:sz w:val="24"/>
          <w:szCs w:val="24"/>
        </w:rPr>
      </w:pPr>
    </w:p>
    <w:p w14:paraId="6FACD1C5" w14:textId="07944528" w:rsidR="00A21057" w:rsidRPr="005A3C94" w:rsidRDefault="00A21057" w:rsidP="00B57649">
      <w:pPr>
        <w:pStyle w:val="Cmsor2"/>
      </w:pPr>
      <w:bookmarkStart w:id="1" w:name="_Toc437242812"/>
      <w:r w:rsidRPr="005A3C94">
        <w:t>A Kreatív Partnerség Program pedagógiai koncepciójának fő jellemzői</w:t>
      </w:r>
      <w:bookmarkEnd w:id="1"/>
    </w:p>
    <w:p w14:paraId="4AD68882" w14:textId="207B1380" w:rsidR="00590C69" w:rsidRPr="005A3C94" w:rsidRDefault="00590C69" w:rsidP="000A252C">
      <w:pPr>
        <w:autoSpaceDE w:val="0"/>
        <w:autoSpaceDN w:val="0"/>
        <w:adjustRightInd w:val="0"/>
        <w:spacing w:after="0" w:line="360" w:lineRule="auto"/>
        <w:rPr>
          <w:rFonts w:ascii="Arial" w:eastAsia="Times New Roman" w:hAnsi="Arial" w:cs="Arial"/>
          <w:sz w:val="24"/>
          <w:szCs w:val="24"/>
          <w:lang w:eastAsia="en-GB"/>
        </w:rPr>
      </w:pPr>
    </w:p>
    <w:p w14:paraId="233FD33F" w14:textId="6AAFADD3" w:rsidR="00590C69" w:rsidRPr="005A3C94" w:rsidRDefault="00590C69" w:rsidP="00590C69">
      <w:pPr>
        <w:autoSpaceDE w:val="0"/>
        <w:autoSpaceDN w:val="0"/>
        <w:adjustRightInd w:val="0"/>
        <w:spacing w:after="0" w:line="276" w:lineRule="auto"/>
        <w:jc w:val="both"/>
        <w:rPr>
          <w:rFonts w:ascii="Times New Roman" w:eastAsia="Times New Roman" w:hAnsi="Times New Roman" w:cs="Times New Roman"/>
          <w:b/>
          <w:sz w:val="24"/>
          <w:szCs w:val="24"/>
          <w:lang w:eastAsia="en-GB"/>
        </w:rPr>
      </w:pPr>
      <w:r w:rsidRPr="005A3C94">
        <w:rPr>
          <w:rFonts w:ascii="Times New Roman" w:eastAsia="Times New Roman" w:hAnsi="Times New Roman" w:cs="Times New Roman"/>
          <w:sz w:val="24"/>
          <w:szCs w:val="24"/>
          <w:lang w:eastAsia="en-GB"/>
        </w:rPr>
        <w:t xml:space="preserve">A „magas teljesítményű”, vagyis jól funkcionáló tanuló fogalmának segítségével megvilágítható, miért hat ez a szemlélet pozitívan a tanulók részvételére és tanulási eredményére. </w:t>
      </w:r>
      <w:r w:rsidRPr="005A3C94">
        <w:rPr>
          <w:rFonts w:ascii="Times New Roman" w:eastAsia="Times New Roman" w:hAnsi="Times New Roman" w:cs="Times New Roman"/>
          <w:iCs/>
          <w:sz w:val="24"/>
          <w:szCs w:val="24"/>
          <w:lang w:eastAsia="en-GB"/>
        </w:rPr>
        <w:t>Az angliai Kreatív Partnerség program értékelése</w:t>
      </w:r>
      <w:r w:rsidRPr="005A3C94">
        <w:rPr>
          <w:rStyle w:val="Lbjegyzet-hivatkozs"/>
          <w:rFonts w:ascii="Times New Roman" w:eastAsia="Times New Roman" w:hAnsi="Times New Roman" w:cs="Times New Roman"/>
          <w:iCs/>
          <w:sz w:val="24"/>
          <w:szCs w:val="24"/>
          <w:lang w:eastAsia="en-GB"/>
        </w:rPr>
        <w:footnoteReference w:id="3"/>
      </w:r>
      <w:r w:rsidRPr="005A3C94">
        <w:rPr>
          <w:rFonts w:ascii="Times New Roman" w:eastAsia="Times New Roman" w:hAnsi="Times New Roman" w:cs="Times New Roman"/>
          <w:iCs/>
          <w:sz w:val="24"/>
          <w:szCs w:val="24"/>
          <w:lang w:eastAsia="en-GB"/>
        </w:rPr>
        <w:t xml:space="preserve"> rámutat arra, hogy a tanuló „magasan teljesít” az olyan oktatási közegben, ahol maga is a tanulás alapvető forrása, s ahol a mobilitás, az érzelmek, a csapatmunka és a kockázat a tanulási folyamat szerves részét képezik. Az ilyen jellegű oktatásban a gyermek egész lényével tapasztalja meg a tanulás élményét – a tanulás tehát nem csupán mentális folyamat, hanem olyasvalami, ami testüket, érzelmeiket, társas készségeiket is megmozgatja. Ez a fajta „magas teljesítmény” a gyermekben a jólét érzését alakítja ki, ami pedig a sikeres tanuláshoz szükséges </w:t>
      </w:r>
      <w:proofErr w:type="spellStart"/>
      <w:r w:rsidRPr="005A3C94">
        <w:rPr>
          <w:rFonts w:ascii="Times New Roman" w:eastAsia="Times New Roman" w:hAnsi="Times New Roman" w:cs="Times New Roman"/>
          <w:iCs/>
          <w:sz w:val="24"/>
          <w:szCs w:val="24"/>
          <w:lang w:eastAsia="en-GB"/>
        </w:rPr>
        <w:t>reziliencia</w:t>
      </w:r>
      <w:proofErr w:type="spellEnd"/>
      <w:r w:rsidRPr="005A3C94">
        <w:rPr>
          <w:rFonts w:ascii="Times New Roman" w:eastAsia="Times New Roman" w:hAnsi="Times New Roman" w:cs="Times New Roman"/>
          <w:iCs/>
          <w:sz w:val="24"/>
          <w:szCs w:val="24"/>
          <w:lang w:eastAsia="en-GB"/>
        </w:rPr>
        <w:t xml:space="preserve"> és magabiztosság alapja. E gyakorlati módszerek hatékonysága abban rejlik, hogy közvetlenül hatnak a tanuló kompetencia-, autonómia- és összetartozás-érzésére</w:t>
      </w:r>
      <w:r w:rsidRPr="005A3C94">
        <w:rPr>
          <w:rFonts w:ascii="Times New Roman" w:eastAsia="Times New Roman" w:hAnsi="Times New Roman" w:cs="Times New Roman"/>
          <w:sz w:val="24"/>
          <w:szCs w:val="24"/>
          <w:lang w:eastAsia="en-GB"/>
        </w:rPr>
        <w:t>. Támogatják a fenntartható tanulás két fontos forrását: az aktivitást és a motivációt. Ezért tapasztalták azt a kutatók, hogy a Kreatív Partnerség iskolákban a tanulók jobban bevonhatók, jobb a magatartásuk és jobbak az eredményeik is. Maurice Galton szerint:</w:t>
      </w:r>
    </w:p>
    <w:p w14:paraId="6297E091" w14:textId="77777777" w:rsidR="00590C69" w:rsidRPr="005A3C94" w:rsidRDefault="00590C69" w:rsidP="00590C69">
      <w:pPr>
        <w:spacing w:after="0" w:line="276" w:lineRule="auto"/>
        <w:jc w:val="both"/>
        <w:rPr>
          <w:rFonts w:ascii="Times New Roman" w:eastAsia="Times New Roman" w:hAnsi="Times New Roman" w:cs="Times New Roman"/>
          <w:sz w:val="24"/>
          <w:szCs w:val="24"/>
          <w:lang w:eastAsia="en-GB"/>
        </w:rPr>
      </w:pPr>
    </w:p>
    <w:p w14:paraId="778EFBDB" w14:textId="77777777" w:rsidR="00590C69" w:rsidRPr="005A3C94" w:rsidRDefault="00590C69" w:rsidP="00590C69">
      <w:pPr>
        <w:spacing w:after="0" w:line="276" w:lineRule="auto"/>
        <w:ind w:left="720"/>
        <w:jc w:val="both"/>
        <w:rPr>
          <w:rFonts w:ascii="Times New Roman" w:eastAsia="Times New Roman" w:hAnsi="Times New Roman" w:cs="Times New Roman"/>
          <w:sz w:val="24"/>
          <w:szCs w:val="24"/>
          <w:lang w:eastAsia="en-GB"/>
        </w:rPr>
      </w:pPr>
      <w:r w:rsidRPr="005A3C94">
        <w:rPr>
          <w:rFonts w:ascii="Times New Roman" w:eastAsia="Times New Roman" w:hAnsi="Times New Roman" w:cs="Times New Roman"/>
          <w:sz w:val="24"/>
          <w:szCs w:val="24"/>
          <w:lang w:eastAsia="en-GB"/>
        </w:rPr>
        <w:t>„Ebben az oktatási progressziós modellben a gyerekek a mások által már ismert tudás elsajátításától továbblépnek arra a szintre, ahol e tudást képesek adott kereteken belül rendezni, majd eljutnak odáig, hogy túl sok segítség nélkül, saját gondolkodási folyamataikra támaszkodva saját egyéni kereteket tudnak létrehozni vagy meglévő kereteket átrendezni.” (Galton, 2007:5-6).</w:t>
      </w:r>
    </w:p>
    <w:p w14:paraId="3DB06237" w14:textId="77777777" w:rsidR="00590C69" w:rsidRPr="005A3C94" w:rsidRDefault="00590C69" w:rsidP="00590C69"/>
    <w:p w14:paraId="2032FC66" w14:textId="77777777" w:rsidR="000A252C" w:rsidRPr="005A3C94" w:rsidRDefault="000A252C" w:rsidP="000A252C">
      <w:pPr>
        <w:pStyle w:val="Listaszerbekezds"/>
        <w:numPr>
          <w:ilvl w:val="0"/>
          <w:numId w:val="18"/>
        </w:numPr>
        <w:autoSpaceDE w:val="0"/>
        <w:autoSpaceDN w:val="0"/>
        <w:adjustRightInd w:val="0"/>
        <w:spacing w:after="0" w:line="360" w:lineRule="auto"/>
        <w:rPr>
          <w:rFonts w:ascii="Arial" w:eastAsia="Times New Roman" w:hAnsi="Arial" w:cs="Arial"/>
          <w:sz w:val="24"/>
          <w:szCs w:val="24"/>
          <w:lang w:eastAsia="en-GB"/>
        </w:rPr>
      </w:pPr>
      <w:r w:rsidRPr="005A3C94">
        <w:rPr>
          <w:rFonts w:ascii="Times New Roman" w:eastAsia="Times New Roman" w:hAnsi="Times New Roman" w:cs="Times New Roman"/>
          <w:sz w:val="24"/>
          <w:szCs w:val="24"/>
          <w:lang w:eastAsia="en-GB"/>
        </w:rPr>
        <w:t xml:space="preserve">ábra. </w:t>
      </w:r>
      <w:r w:rsidRPr="005A3C94">
        <w:rPr>
          <w:rFonts w:ascii="Times New Roman" w:eastAsia="Times New Roman" w:hAnsi="Times New Roman" w:cs="Times New Roman"/>
          <w:i/>
          <w:sz w:val="24"/>
          <w:szCs w:val="24"/>
          <w:lang w:eastAsia="en-GB"/>
        </w:rPr>
        <w:t>Az ún. jól működő osztályterem jellemzői</w:t>
      </w:r>
      <w:r w:rsidRPr="005A3C94">
        <w:rPr>
          <w:rFonts w:ascii="Arial" w:eastAsia="Times New Roman" w:hAnsi="Arial" w:cs="Arial"/>
          <w:sz w:val="24"/>
          <w:szCs w:val="24"/>
          <w:lang w:eastAsia="en-GB"/>
        </w:rPr>
        <w:t xml:space="preserve"> </w:t>
      </w:r>
    </w:p>
    <w:p w14:paraId="45F74428" w14:textId="77777777" w:rsidR="000A252C" w:rsidRPr="005A3C94" w:rsidRDefault="000A252C" w:rsidP="00590C69"/>
    <w:p w14:paraId="5F09A8BF" w14:textId="77777777" w:rsidR="000A252C" w:rsidRPr="005A3C94" w:rsidRDefault="000A252C" w:rsidP="00590C69"/>
    <w:p w14:paraId="109BA379" w14:textId="77777777" w:rsidR="000A252C" w:rsidRPr="005A3C94" w:rsidRDefault="000A252C" w:rsidP="00590C69"/>
    <w:p w14:paraId="3DDB04A4" w14:textId="77777777" w:rsidR="000A252C" w:rsidRPr="005A3C94" w:rsidRDefault="000A252C" w:rsidP="00590C69"/>
    <w:p w14:paraId="164DDD73" w14:textId="77777777" w:rsidR="000A252C" w:rsidRPr="005A3C94" w:rsidRDefault="000A252C" w:rsidP="00590C69"/>
    <w:p w14:paraId="2CA7E85F" w14:textId="2C63B6A4" w:rsidR="000A252C" w:rsidRPr="005A3C94" w:rsidRDefault="000A252C" w:rsidP="00590C69">
      <w:r w:rsidRPr="005A3C94">
        <w:rPr>
          <w:noProof/>
          <w:lang w:eastAsia="hu-HU"/>
        </w:rPr>
        <w:drawing>
          <wp:inline distT="0" distB="0" distL="0" distR="0" wp14:anchorId="086280C8" wp14:editId="45F32BE8">
            <wp:extent cx="5274310" cy="3955610"/>
            <wp:effectExtent l="0" t="0" r="2540" b="6985"/>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955610"/>
                    </a:xfrm>
                    <a:prstGeom prst="rect">
                      <a:avLst/>
                    </a:prstGeom>
                  </pic:spPr>
                </pic:pic>
              </a:graphicData>
            </a:graphic>
          </wp:inline>
        </w:drawing>
      </w:r>
    </w:p>
    <w:p w14:paraId="4F53AF2C" w14:textId="7BAF1A9E" w:rsidR="005F1425" w:rsidRPr="005A3C94" w:rsidRDefault="005F1425" w:rsidP="00A21057">
      <w:pPr>
        <w:pStyle w:val="Cmsor2"/>
      </w:pPr>
      <w:bookmarkStart w:id="2" w:name="_Toc437242813"/>
      <w:r w:rsidRPr="005A3C94">
        <w:t>A magyarországi pilot-program működése/ működtetése</w:t>
      </w:r>
      <w:bookmarkEnd w:id="2"/>
    </w:p>
    <w:p w14:paraId="4E8832A2" w14:textId="77777777" w:rsidR="005F1425" w:rsidRPr="005A3C94" w:rsidRDefault="005F1425" w:rsidP="005F1425"/>
    <w:p w14:paraId="668776D9" w14:textId="05043AEF" w:rsidR="00031A4F" w:rsidRPr="005A3C94" w:rsidRDefault="00031A4F" w:rsidP="00031A4F">
      <w:pPr>
        <w:jc w:val="both"/>
        <w:rPr>
          <w:rFonts w:ascii="Times New Roman" w:hAnsi="Times New Roman" w:cs="Times New Roman"/>
          <w:sz w:val="24"/>
          <w:szCs w:val="24"/>
        </w:rPr>
      </w:pPr>
      <w:r w:rsidRPr="005A3C94">
        <w:rPr>
          <w:rFonts w:ascii="Times New Roman" w:hAnsi="Times New Roman" w:cs="Times New Roman"/>
          <w:iCs/>
          <w:sz w:val="24"/>
          <w:szCs w:val="24"/>
        </w:rPr>
        <w:t xml:space="preserve">Magyarországon a PTE MK Művészettörténet és Elmélet Tanszékének munkatársai választják ki a programban részt vevő művészeket, művész hallgatókat. Ők több alkalommal 40 órás tréningen vesznek részt, amelyet a programban részt vevő iskolák tanárainak képzései követnek. </w:t>
      </w:r>
      <w:r w:rsidR="005F1425" w:rsidRPr="005A3C94">
        <w:rPr>
          <w:rFonts w:ascii="Times New Roman" w:hAnsi="Times New Roman" w:cs="Times New Roman"/>
          <w:iCs/>
          <w:sz w:val="24"/>
          <w:szCs w:val="24"/>
        </w:rPr>
        <w:t xml:space="preserve">A képzéseket az angol programgazda, a </w:t>
      </w:r>
      <w:proofErr w:type="spellStart"/>
      <w:r w:rsidR="005F1425" w:rsidRPr="005A3C94">
        <w:rPr>
          <w:rFonts w:ascii="Times New Roman" w:hAnsi="Times New Roman" w:cs="Times New Roman"/>
          <w:iCs/>
          <w:sz w:val="24"/>
          <w:szCs w:val="24"/>
        </w:rPr>
        <w:t>Creativity</w:t>
      </w:r>
      <w:proofErr w:type="spellEnd"/>
      <w:r w:rsidR="005F1425" w:rsidRPr="005A3C94">
        <w:rPr>
          <w:rFonts w:ascii="Times New Roman" w:hAnsi="Times New Roman" w:cs="Times New Roman"/>
          <w:iCs/>
          <w:sz w:val="24"/>
          <w:szCs w:val="24"/>
        </w:rPr>
        <w:t xml:space="preserve"> </w:t>
      </w:r>
      <w:proofErr w:type="spellStart"/>
      <w:r w:rsidR="005F1425" w:rsidRPr="005A3C94">
        <w:rPr>
          <w:rFonts w:ascii="Times New Roman" w:hAnsi="Times New Roman" w:cs="Times New Roman"/>
          <w:iCs/>
          <w:sz w:val="24"/>
          <w:szCs w:val="24"/>
        </w:rPr>
        <w:t>Culture</w:t>
      </w:r>
      <w:proofErr w:type="spellEnd"/>
      <w:r w:rsidR="005F1425" w:rsidRPr="005A3C94">
        <w:rPr>
          <w:rFonts w:ascii="Times New Roman" w:hAnsi="Times New Roman" w:cs="Times New Roman"/>
          <w:iCs/>
          <w:sz w:val="24"/>
          <w:szCs w:val="24"/>
        </w:rPr>
        <w:t xml:space="preserve"> and Education (CCE)</w:t>
      </w:r>
      <w:r w:rsidR="005F1425" w:rsidRPr="005A3C94">
        <w:rPr>
          <w:rStyle w:val="Lbjegyzet-hivatkozs"/>
          <w:rFonts w:ascii="Times New Roman" w:hAnsi="Times New Roman" w:cs="Times New Roman"/>
          <w:iCs/>
          <w:sz w:val="24"/>
          <w:szCs w:val="24"/>
        </w:rPr>
        <w:footnoteReference w:id="4"/>
      </w:r>
      <w:r w:rsidR="005F1425" w:rsidRPr="005A3C94">
        <w:rPr>
          <w:rFonts w:ascii="Times New Roman" w:hAnsi="Times New Roman" w:cs="Times New Roman"/>
          <w:iCs/>
          <w:sz w:val="24"/>
          <w:szCs w:val="24"/>
        </w:rPr>
        <w:t xml:space="preserve"> szervezet képzett trénerei tartják, az egyes résztvevő iskolák ún. int</w:t>
      </w:r>
      <w:r w:rsidR="005F7BF6" w:rsidRPr="005A3C94">
        <w:rPr>
          <w:rFonts w:ascii="Times New Roman" w:hAnsi="Times New Roman" w:cs="Times New Roman"/>
          <w:iCs/>
          <w:sz w:val="24"/>
          <w:szCs w:val="24"/>
        </w:rPr>
        <w:t>ézményi problémáinak feltárását, problématérképek készítését</w:t>
      </w:r>
      <w:r w:rsidR="005F1425" w:rsidRPr="005A3C94">
        <w:rPr>
          <w:rFonts w:ascii="Times New Roman" w:hAnsi="Times New Roman" w:cs="Times New Roman"/>
          <w:iCs/>
          <w:sz w:val="24"/>
          <w:szCs w:val="24"/>
        </w:rPr>
        <w:t xml:space="preserve"> a </w:t>
      </w:r>
      <w:proofErr w:type="spellStart"/>
      <w:r w:rsidR="005F7BF6" w:rsidRPr="005A3C94">
        <w:rPr>
          <w:rFonts w:ascii="Times New Roman" w:hAnsi="Times New Roman" w:cs="Times New Roman"/>
          <w:iCs/>
          <w:sz w:val="24"/>
          <w:szCs w:val="24"/>
        </w:rPr>
        <w:t>T-Tudok</w:t>
      </w:r>
      <w:proofErr w:type="spellEnd"/>
      <w:r w:rsidR="005F7BF6" w:rsidRPr="005A3C94">
        <w:rPr>
          <w:rFonts w:ascii="Times New Roman" w:hAnsi="Times New Roman" w:cs="Times New Roman"/>
          <w:iCs/>
          <w:sz w:val="24"/>
          <w:szCs w:val="24"/>
        </w:rPr>
        <w:t xml:space="preserve"> munkatársai végzik</w:t>
      </w:r>
      <w:r w:rsidR="005F1425" w:rsidRPr="005A3C94">
        <w:rPr>
          <w:rFonts w:ascii="Times New Roman" w:hAnsi="Times New Roman" w:cs="Times New Roman"/>
          <w:iCs/>
          <w:sz w:val="24"/>
          <w:szCs w:val="24"/>
        </w:rPr>
        <w:t xml:space="preserve">. </w:t>
      </w:r>
      <w:r w:rsidRPr="005A3C94">
        <w:rPr>
          <w:rFonts w:ascii="Times New Roman" w:hAnsi="Times New Roman" w:cs="Times New Roman"/>
          <w:iCs/>
          <w:sz w:val="24"/>
          <w:szCs w:val="24"/>
        </w:rPr>
        <w:t xml:space="preserve">A program során </w:t>
      </w:r>
      <w:r w:rsidR="005F1425" w:rsidRPr="005A3C94">
        <w:rPr>
          <w:rFonts w:ascii="Times New Roman" w:hAnsi="Times New Roman" w:cs="Times New Roman"/>
          <w:iCs/>
          <w:sz w:val="24"/>
          <w:szCs w:val="24"/>
        </w:rPr>
        <w:t>iskolánként 1 vagy 2 évfolyam 1-1 osztályával vagy tanulócsoportjával</w:t>
      </w:r>
      <w:r w:rsidRPr="005A3C94">
        <w:rPr>
          <w:rFonts w:ascii="Times New Roman" w:hAnsi="Times New Roman" w:cs="Times New Roman"/>
          <w:iCs/>
          <w:sz w:val="24"/>
          <w:szCs w:val="24"/>
        </w:rPr>
        <w:t xml:space="preserve"> dolgoz</w:t>
      </w:r>
      <w:r w:rsidR="005D3E3C" w:rsidRPr="005A3C94">
        <w:rPr>
          <w:rFonts w:ascii="Times New Roman" w:hAnsi="Times New Roman" w:cs="Times New Roman"/>
          <w:iCs/>
          <w:sz w:val="24"/>
          <w:szCs w:val="24"/>
        </w:rPr>
        <w:t>nak</w:t>
      </w:r>
      <w:r w:rsidRPr="005A3C94">
        <w:rPr>
          <w:rFonts w:ascii="Times New Roman" w:hAnsi="Times New Roman" w:cs="Times New Roman"/>
          <w:iCs/>
          <w:sz w:val="24"/>
          <w:szCs w:val="24"/>
        </w:rPr>
        <w:t xml:space="preserve">, azaz </w:t>
      </w:r>
      <w:r w:rsidR="00A21057" w:rsidRPr="005A3C94">
        <w:rPr>
          <w:rFonts w:ascii="Times New Roman" w:hAnsi="Times New Roman" w:cs="Times New Roman"/>
          <w:iCs/>
          <w:sz w:val="24"/>
          <w:szCs w:val="24"/>
        </w:rPr>
        <w:t>csoportonként</w:t>
      </w:r>
      <w:r w:rsidRPr="005A3C94">
        <w:rPr>
          <w:rFonts w:ascii="Times New Roman" w:hAnsi="Times New Roman" w:cs="Times New Roman"/>
          <w:iCs/>
          <w:sz w:val="24"/>
          <w:szCs w:val="24"/>
        </w:rPr>
        <w:t xml:space="preserve"> 2 képzett tanár és 2 képzett művész aktív együttműködésében zajlanak az ún</w:t>
      </w:r>
      <w:r w:rsidR="00A21057" w:rsidRPr="005A3C94">
        <w:rPr>
          <w:rFonts w:ascii="Times New Roman" w:hAnsi="Times New Roman" w:cs="Times New Roman"/>
          <w:iCs/>
          <w:sz w:val="24"/>
          <w:szCs w:val="24"/>
        </w:rPr>
        <w:t>.</w:t>
      </w:r>
      <w:r w:rsidRPr="005A3C94">
        <w:rPr>
          <w:rFonts w:ascii="Times New Roman" w:hAnsi="Times New Roman" w:cs="Times New Roman"/>
          <w:iCs/>
          <w:sz w:val="24"/>
          <w:szCs w:val="24"/>
        </w:rPr>
        <w:t xml:space="preserve"> helyi mini-projektek. A mini-projektek fókuszában az iskolák és tanárok által vázolt helyi nehézségek </w:t>
      </w:r>
      <w:r w:rsidR="005D3E3C" w:rsidRPr="005A3C94">
        <w:rPr>
          <w:rFonts w:ascii="Times New Roman" w:hAnsi="Times New Roman" w:cs="Times New Roman"/>
          <w:iCs/>
          <w:sz w:val="24"/>
          <w:szCs w:val="24"/>
        </w:rPr>
        <w:t xml:space="preserve">kezelése </w:t>
      </w:r>
      <w:r w:rsidRPr="005A3C94">
        <w:rPr>
          <w:rFonts w:ascii="Times New Roman" w:hAnsi="Times New Roman" w:cs="Times New Roman"/>
          <w:iCs/>
          <w:sz w:val="24"/>
          <w:szCs w:val="24"/>
        </w:rPr>
        <w:t>(mint pl. lemorzsolódás kockázatának csökkentése, együttműködési készségek fejlesztése, magatartási problémák kezelése, pozitív jövőkép erősítése</w:t>
      </w:r>
      <w:r w:rsidR="005D3E3C" w:rsidRPr="005A3C94">
        <w:rPr>
          <w:rFonts w:ascii="Times New Roman" w:hAnsi="Times New Roman" w:cs="Times New Roman"/>
          <w:iCs/>
          <w:sz w:val="24"/>
          <w:szCs w:val="24"/>
        </w:rPr>
        <w:t>, az iskola helyi „láthatóságának” növelése</w:t>
      </w:r>
      <w:r w:rsidRPr="005A3C94">
        <w:rPr>
          <w:rFonts w:ascii="Times New Roman" w:hAnsi="Times New Roman" w:cs="Times New Roman"/>
          <w:iCs/>
          <w:sz w:val="24"/>
          <w:szCs w:val="24"/>
        </w:rPr>
        <w:t>)</w:t>
      </w:r>
      <w:r w:rsidR="00A21057" w:rsidRPr="005A3C94">
        <w:rPr>
          <w:rFonts w:ascii="Times New Roman" w:hAnsi="Times New Roman" w:cs="Times New Roman"/>
          <w:iCs/>
          <w:sz w:val="24"/>
          <w:szCs w:val="24"/>
        </w:rPr>
        <w:t>, vagy szaktárgyi tudásátadás, illetve szaktárgyakon átívelő kompetenciafejlesztés</w:t>
      </w:r>
      <w:r w:rsidRPr="005A3C94">
        <w:rPr>
          <w:rFonts w:ascii="Times New Roman" w:hAnsi="Times New Roman" w:cs="Times New Roman"/>
          <w:iCs/>
          <w:sz w:val="24"/>
          <w:szCs w:val="24"/>
        </w:rPr>
        <w:t xml:space="preserve"> áll. A helyi projektek implementációja egy helyszíni megfigyelés és két tervezési alkalom után, 10</w:t>
      </w:r>
      <w:r w:rsidR="00A21057" w:rsidRPr="005A3C94">
        <w:rPr>
          <w:rFonts w:ascii="Times New Roman" w:hAnsi="Times New Roman" w:cs="Times New Roman"/>
          <w:iCs/>
          <w:sz w:val="24"/>
          <w:szCs w:val="24"/>
        </w:rPr>
        <w:t>-12</w:t>
      </w:r>
      <w:r w:rsidRPr="005A3C94">
        <w:rPr>
          <w:rFonts w:ascii="Times New Roman" w:hAnsi="Times New Roman" w:cs="Times New Roman"/>
          <w:iCs/>
          <w:sz w:val="24"/>
          <w:szCs w:val="24"/>
        </w:rPr>
        <w:t xml:space="preserve"> háromórás modulban valósul meg, amelyet egy részletes érték</w:t>
      </w:r>
      <w:r w:rsidR="00A21057" w:rsidRPr="005A3C94">
        <w:rPr>
          <w:rFonts w:ascii="Times New Roman" w:hAnsi="Times New Roman" w:cs="Times New Roman"/>
          <w:iCs/>
          <w:sz w:val="24"/>
          <w:szCs w:val="24"/>
        </w:rPr>
        <w:t>elési komponens és bemutató zár.</w:t>
      </w:r>
      <w:r w:rsidR="005D3E3C" w:rsidRPr="005A3C94">
        <w:rPr>
          <w:rFonts w:ascii="Times New Roman" w:hAnsi="Times New Roman" w:cs="Times New Roman"/>
          <w:iCs/>
          <w:sz w:val="24"/>
          <w:szCs w:val="24"/>
        </w:rPr>
        <w:t xml:space="preserve"> Ezek a modulok mind a tanórák, mind délutáni, tanórán kívüli foglalkozások struktúrájába is beépíthetők. </w:t>
      </w:r>
    </w:p>
    <w:p w14:paraId="7A6C5C34" w14:textId="77777777" w:rsidR="00A21057" w:rsidRPr="005A3C94" w:rsidRDefault="00A21057" w:rsidP="00031A4F">
      <w:pPr>
        <w:jc w:val="both"/>
        <w:rPr>
          <w:rFonts w:ascii="Times New Roman" w:hAnsi="Times New Roman" w:cs="Times New Roman"/>
          <w:sz w:val="24"/>
          <w:szCs w:val="24"/>
        </w:rPr>
      </w:pPr>
    </w:p>
    <w:p w14:paraId="3AC119DB" w14:textId="77777777" w:rsidR="00A77F49" w:rsidRPr="005A3C94" w:rsidRDefault="00A77F49" w:rsidP="00031A4F">
      <w:pPr>
        <w:jc w:val="both"/>
        <w:rPr>
          <w:rFonts w:ascii="Times New Roman" w:hAnsi="Times New Roman" w:cs="Times New Roman"/>
          <w:sz w:val="24"/>
          <w:szCs w:val="24"/>
        </w:rPr>
      </w:pPr>
    </w:p>
    <w:p w14:paraId="78E73AF7" w14:textId="039BC320" w:rsidR="00BF7ED0" w:rsidRPr="005A3C94" w:rsidRDefault="00BF7ED0" w:rsidP="00B57649">
      <w:pPr>
        <w:pStyle w:val="Cmsor2"/>
      </w:pPr>
      <w:bookmarkStart w:id="3" w:name="_Toc437242814"/>
      <w:r w:rsidRPr="005A3C94">
        <w:t>A program kipróbálásának első szakasza</w:t>
      </w:r>
      <w:bookmarkEnd w:id="3"/>
    </w:p>
    <w:p w14:paraId="7EA10DCF" w14:textId="77777777" w:rsidR="00BF7ED0" w:rsidRPr="005A3C94" w:rsidRDefault="00BF7ED0" w:rsidP="00BF7ED0"/>
    <w:p w14:paraId="040A0441" w14:textId="74B5B8DC" w:rsidR="00BF7ED0" w:rsidRPr="005A3C94" w:rsidRDefault="005F7BF6" w:rsidP="00BF7ED0">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A program bevezetésének első szakaszára a 2013/14-es tanév második félévében került sor, amikor is a Budai Városkapu Iskolának mind a 7 tagintézménye részt vett a kísérletben. A program kipróbálását nagyban segítette, hogy a pilotnak helyet adó iskola egy olyan komplex intézmény, amelynek tagiskolái között egy négy évfolyamos, csak alsó tagozattal működő kisiskola éppúgy megtalálható, mint a speciális szakiskola, illetve alapfokú művészeti nevelésnek helyet adó nyolc évfolyamos intézmény. Ez az intézményi sokszínűség tered adott annak, ho</w:t>
      </w:r>
      <w:r w:rsidR="00BF7ED0" w:rsidRPr="005A3C94">
        <w:rPr>
          <w:rFonts w:ascii="Times New Roman" w:hAnsi="Times New Roman" w:cs="Times New Roman"/>
          <w:sz w:val="24"/>
          <w:szCs w:val="24"/>
        </w:rPr>
        <w:t xml:space="preserve">gy különféle közegben, egymástól eltérő tanulási környezetben, más és más tanulásszervezési módszerekkel működő pedagógusok osztályaiban próbálhassuk ki a programot. Ez az első szakasz nem tantárgyi tartalmak átadására fókuszált, hanem az iskolák teljes nevelőtestületei által megfogalmazott legfőbb probléma megoldását/feloldását célozta meg, azzal a tanulói közösséggel, amelyikkel való együttműködés a tanárok többsége számára a legproblémásabb. </w:t>
      </w:r>
      <w:r w:rsidR="00E420F1" w:rsidRPr="005A3C94">
        <w:rPr>
          <w:rFonts w:ascii="Times New Roman" w:hAnsi="Times New Roman" w:cs="Times New Roman"/>
          <w:sz w:val="24"/>
          <w:szCs w:val="24"/>
        </w:rPr>
        <w:t>A foglalkozásokra általában délutánonként, tanórai vagy tanórán kívüli foglalkozások keretében került sor.</w:t>
      </w:r>
    </w:p>
    <w:p w14:paraId="1CFC2D05" w14:textId="5CC22286" w:rsidR="00A21057" w:rsidRPr="005A3C94" w:rsidRDefault="00A21057" w:rsidP="00BF7ED0">
      <w:pPr>
        <w:spacing w:line="276" w:lineRule="auto"/>
        <w:jc w:val="both"/>
        <w:rPr>
          <w:rFonts w:ascii="Times New Roman" w:hAnsi="Times New Roman" w:cs="Times New Roman"/>
          <w:sz w:val="24"/>
          <w:szCs w:val="24"/>
        </w:rPr>
      </w:pPr>
      <w:r w:rsidRPr="005A3C94">
        <w:rPr>
          <w:rFonts w:ascii="Times New Roman" w:hAnsi="Times New Roman" w:cs="Times New Roman"/>
          <w:iCs/>
          <w:sz w:val="24"/>
          <w:szCs w:val="24"/>
        </w:rPr>
        <w:t>A program eredményességét tanulói kérdőívvel, ill</w:t>
      </w:r>
      <w:r w:rsidR="00BF7ED0" w:rsidRPr="005A3C94">
        <w:rPr>
          <w:rFonts w:ascii="Times New Roman" w:hAnsi="Times New Roman" w:cs="Times New Roman"/>
          <w:iCs/>
          <w:sz w:val="24"/>
          <w:szCs w:val="24"/>
        </w:rPr>
        <w:t>etve kvalitatív eszközökkel mért</w:t>
      </w:r>
      <w:r w:rsidRPr="005A3C94">
        <w:rPr>
          <w:rFonts w:ascii="Times New Roman" w:hAnsi="Times New Roman" w:cs="Times New Roman"/>
          <w:iCs/>
          <w:sz w:val="24"/>
          <w:szCs w:val="24"/>
        </w:rPr>
        <w:t xml:space="preserve">ük. Az eredmények azt mutatják, hogy a megvalósított helyi </w:t>
      </w:r>
      <w:r w:rsidRPr="005A3C94">
        <w:rPr>
          <w:rFonts w:ascii="Times New Roman" w:hAnsi="Times New Roman" w:cs="Times New Roman"/>
          <w:sz w:val="24"/>
          <w:szCs w:val="24"/>
        </w:rPr>
        <w:t xml:space="preserve">projektek az összes résztvevőre – a gyerekekre és szüleikre, tanárokra, iskolákra és a kreatív szakemberekre – is egyaránt pozitívan hatnak. Az </w:t>
      </w:r>
      <w:r w:rsidRPr="005A3C94">
        <w:rPr>
          <w:rFonts w:ascii="Times New Roman" w:hAnsi="Times New Roman" w:cs="Times New Roman"/>
          <w:bCs/>
          <w:sz w:val="24"/>
          <w:szCs w:val="24"/>
        </w:rPr>
        <w:t>iskolák</w:t>
      </w:r>
      <w:r w:rsidRPr="005A3C94">
        <w:rPr>
          <w:rFonts w:ascii="Times New Roman" w:hAnsi="Times New Roman" w:cs="Times New Roman"/>
          <w:sz w:val="24"/>
          <w:szCs w:val="24"/>
        </w:rPr>
        <w:t xml:space="preserve"> dolgozói rendre úgy vélik, hogy a program hatására fejlődés indult el az intézményben, sokkal inkább diákközpontúvá vált a személet, és olyan lehetőségek nyíltak meg, amelyekre korábban nem is gondoltak. A programban résztvevő </w:t>
      </w:r>
      <w:r w:rsidRPr="005A3C94">
        <w:rPr>
          <w:rFonts w:ascii="Times New Roman" w:hAnsi="Times New Roman" w:cs="Times New Roman"/>
          <w:bCs/>
          <w:sz w:val="24"/>
          <w:szCs w:val="24"/>
        </w:rPr>
        <w:t>diákok</w:t>
      </w:r>
      <w:r w:rsidRPr="005A3C94">
        <w:rPr>
          <w:rFonts w:ascii="Times New Roman" w:hAnsi="Times New Roman" w:cs="Times New Roman"/>
          <w:sz w:val="24"/>
          <w:szCs w:val="24"/>
        </w:rPr>
        <w:t xml:space="preserve"> teljesítménye is szignifikánsan nőtt, ráadásul a szociokulturális szempontból hátrányosabb helyzetű diákok eredményei az országos áltagot is felülmúlták. A </w:t>
      </w:r>
      <w:r w:rsidRPr="005A3C94">
        <w:rPr>
          <w:rFonts w:ascii="Times New Roman" w:hAnsi="Times New Roman" w:cs="Times New Roman"/>
          <w:bCs/>
          <w:sz w:val="24"/>
          <w:szCs w:val="24"/>
        </w:rPr>
        <w:t>szülők</w:t>
      </w:r>
      <w:r w:rsidRPr="005A3C94">
        <w:rPr>
          <w:rFonts w:ascii="Times New Roman" w:hAnsi="Times New Roman" w:cs="Times New Roman"/>
          <w:sz w:val="24"/>
          <w:szCs w:val="24"/>
        </w:rPr>
        <w:t xml:space="preserve"> a diákok beszámolói alapján váltak egyre kíváncsibbá az iskolában folyó programok iránt, aminek révén egyre inkább szerettek volna bekapcsolódni az iskolai életbe, és motiváltabbá váltak a gyerekek teljesítményével kapcsolatban ők maguk is. A művészek és művészhallgatók pedig közösségi művészeti projektek irányítóivá és megvalósítóivá váltak</w:t>
      </w:r>
      <w:r w:rsidR="00BF7ED0" w:rsidRPr="005A3C94">
        <w:rPr>
          <w:rStyle w:val="Lbjegyzet-hivatkozs"/>
          <w:rFonts w:ascii="Times New Roman" w:hAnsi="Times New Roman" w:cs="Times New Roman"/>
          <w:sz w:val="24"/>
          <w:szCs w:val="24"/>
        </w:rPr>
        <w:footnoteReference w:id="5"/>
      </w:r>
      <w:r w:rsidRPr="005A3C94">
        <w:rPr>
          <w:rFonts w:ascii="Times New Roman" w:hAnsi="Times New Roman" w:cs="Times New Roman"/>
          <w:sz w:val="24"/>
          <w:szCs w:val="24"/>
        </w:rPr>
        <w:t>.</w:t>
      </w:r>
    </w:p>
    <w:p w14:paraId="3B7A3145" w14:textId="77777777" w:rsidR="00A21057" w:rsidRPr="005A3C94" w:rsidRDefault="00A21057" w:rsidP="00A21057"/>
    <w:p w14:paraId="735FC844" w14:textId="11B7D501" w:rsidR="00A77F49" w:rsidRPr="005A3C94" w:rsidRDefault="00A77F49" w:rsidP="00B57649">
      <w:pPr>
        <w:pStyle w:val="Cmsor2"/>
      </w:pPr>
      <w:bookmarkStart w:id="5" w:name="_Toc437242815"/>
      <w:r w:rsidRPr="005A3C94">
        <w:t>A program kipróbálásának második szakasza</w:t>
      </w:r>
      <w:bookmarkEnd w:id="5"/>
    </w:p>
    <w:p w14:paraId="2978934E" w14:textId="77777777" w:rsidR="00A77F49" w:rsidRPr="005A3C94" w:rsidRDefault="00A77F49" w:rsidP="00A77F49">
      <w:pPr>
        <w:pStyle w:val="Listaszerbekezds"/>
        <w:ind w:left="1080"/>
      </w:pPr>
    </w:p>
    <w:p w14:paraId="503C3129" w14:textId="08225FE6" w:rsidR="00ED29E7" w:rsidRPr="005A3C94" w:rsidRDefault="00A77F49" w:rsidP="00ED29E7">
      <w:pPr>
        <w:spacing w:after="0"/>
        <w:jc w:val="both"/>
        <w:rPr>
          <w:rFonts w:ascii="Times New Roman" w:eastAsia="Times New Roman" w:hAnsi="Times New Roman" w:cs="Times New Roman"/>
          <w:sz w:val="24"/>
          <w:szCs w:val="24"/>
          <w:lang w:eastAsia="en-GB"/>
        </w:rPr>
      </w:pPr>
      <w:r w:rsidRPr="005A3C94">
        <w:rPr>
          <w:rFonts w:ascii="Times New Roman" w:hAnsi="Times New Roman" w:cs="Times New Roman"/>
          <w:sz w:val="24"/>
          <w:szCs w:val="24"/>
        </w:rPr>
        <w:t>A program második szakaszára a 2014/</w:t>
      </w:r>
      <w:r w:rsidR="00031A4F" w:rsidRPr="005A3C94">
        <w:rPr>
          <w:rFonts w:ascii="Times New Roman" w:hAnsi="Times New Roman" w:cs="Times New Roman"/>
          <w:sz w:val="24"/>
          <w:szCs w:val="24"/>
        </w:rPr>
        <w:t>2</w:t>
      </w:r>
      <w:r w:rsidRPr="005A3C94">
        <w:rPr>
          <w:rFonts w:ascii="Times New Roman" w:hAnsi="Times New Roman" w:cs="Times New Roman"/>
          <w:sz w:val="24"/>
          <w:szCs w:val="24"/>
        </w:rPr>
        <w:t>015-ös tan</w:t>
      </w:r>
      <w:r w:rsidR="004C3C9F" w:rsidRPr="005A3C94">
        <w:rPr>
          <w:rFonts w:ascii="Times New Roman" w:hAnsi="Times New Roman" w:cs="Times New Roman"/>
          <w:sz w:val="24"/>
          <w:szCs w:val="24"/>
        </w:rPr>
        <w:t>év második félévében került sor, a</w:t>
      </w:r>
      <w:r w:rsidRPr="005A3C94">
        <w:rPr>
          <w:rFonts w:ascii="Times New Roman" w:hAnsi="Times New Roman" w:cs="Times New Roman"/>
          <w:sz w:val="24"/>
          <w:szCs w:val="24"/>
        </w:rPr>
        <w:t>z Oktatási Hivatal</w:t>
      </w:r>
      <w:r w:rsidR="004C3C9F" w:rsidRPr="005A3C94">
        <w:rPr>
          <w:rFonts w:ascii="Times New Roman" w:hAnsi="Times New Roman" w:cs="Times New Roman"/>
          <w:sz w:val="24"/>
          <w:szCs w:val="24"/>
        </w:rPr>
        <w:t xml:space="preserve"> TÁMOP-3.1.1-11/1-2012-0001 azonosító számú, a</w:t>
      </w:r>
      <w:r w:rsidR="00B3112D" w:rsidRPr="005A3C94">
        <w:rPr>
          <w:rFonts w:ascii="Times New Roman" w:hAnsi="Times New Roman" w:cs="Times New Roman"/>
          <w:sz w:val="24"/>
          <w:szCs w:val="24"/>
        </w:rPr>
        <w:t xml:space="preserve"> </w:t>
      </w:r>
      <w:r w:rsidR="004C3C9F" w:rsidRPr="005A3C94">
        <w:rPr>
          <w:rFonts w:ascii="Times New Roman" w:hAnsi="Times New Roman" w:cs="Times New Roman"/>
          <w:sz w:val="24"/>
          <w:szCs w:val="24"/>
        </w:rPr>
        <w:t>„XXI. századi közoktatás (fejlesztés, koordináció) II. szakasz” elnevezésű kiemelt</w:t>
      </w:r>
      <w:r w:rsidR="00B3112D" w:rsidRPr="005A3C94">
        <w:rPr>
          <w:rFonts w:ascii="Times New Roman" w:hAnsi="Times New Roman" w:cs="Times New Roman"/>
          <w:sz w:val="24"/>
          <w:szCs w:val="24"/>
        </w:rPr>
        <w:t xml:space="preserve"> projekt megvalósítása során</w:t>
      </w:r>
      <w:r w:rsidR="004C3C9F" w:rsidRPr="005A3C94">
        <w:rPr>
          <w:rFonts w:ascii="Times New Roman" w:hAnsi="Times New Roman" w:cs="Times New Roman"/>
          <w:sz w:val="24"/>
          <w:szCs w:val="24"/>
        </w:rPr>
        <w:t>, az ún. Innovatív hálózatok létrehozása nevelési-oktatási programok fejlesztése című projekt keretében.  A Kreatí</w:t>
      </w:r>
      <w:r w:rsidR="00B3112D" w:rsidRPr="005A3C94">
        <w:rPr>
          <w:rFonts w:ascii="Times New Roman" w:hAnsi="Times New Roman" w:cs="Times New Roman"/>
          <w:sz w:val="24"/>
          <w:szCs w:val="24"/>
        </w:rPr>
        <w:t>v Partnerség program, olyan</w:t>
      </w:r>
      <w:r w:rsidR="004C3C9F" w:rsidRPr="005A3C94">
        <w:rPr>
          <w:rFonts w:ascii="Times New Roman" w:hAnsi="Times New Roman" w:cs="Times New Roman"/>
          <w:sz w:val="24"/>
          <w:szCs w:val="24"/>
        </w:rPr>
        <w:t xml:space="preserve"> regionális partne</w:t>
      </w:r>
      <w:r w:rsidR="00B3112D" w:rsidRPr="005A3C94">
        <w:rPr>
          <w:rFonts w:ascii="Times New Roman" w:hAnsi="Times New Roman" w:cs="Times New Roman"/>
          <w:sz w:val="24"/>
          <w:szCs w:val="24"/>
        </w:rPr>
        <w:t>rségre építő hálózat lehetséges mintamodelljeként</w:t>
      </w:r>
      <w:r w:rsidR="004C3C9F" w:rsidRPr="005A3C94">
        <w:rPr>
          <w:rFonts w:ascii="Times New Roman" w:hAnsi="Times New Roman" w:cs="Times New Roman"/>
          <w:sz w:val="24"/>
          <w:szCs w:val="24"/>
        </w:rPr>
        <w:t xml:space="preserve"> jelent meg a projektben, amelynek célja</w:t>
      </w:r>
      <w:r w:rsidR="00B3112D" w:rsidRPr="005A3C94">
        <w:rPr>
          <w:rFonts w:ascii="Times New Roman" w:hAnsi="Times New Roman" w:cs="Times New Roman"/>
          <w:sz w:val="24"/>
          <w:szCs w:val="24"/>
        </w:rPr>
        <w:t>, hogy</w:t>
      </w:r>
      <w:r w:rsidR="004C3C9F" w:rsidRPr="005A3C94">
        <w:rPr>
          <w:rFonts w:ascii="Times New Roman" w:hAnsi="Times New Roman" w:cs="Times New Roman"/>
          <w:sz w:val="24"/>
          <w:szCs w:val="24"/>
        </w:rPr>
        <w:t xml:space="preserve"> </w:t>
      </w:r>
      <w:r w:rsidR="00B3112D" w:rsidRPr="005A3C94">
        <w:rPr>
          <w:rFonts w:ascii="Times New Roman" w:hAnsi="Times New Roman" w:cs="Times New Roman"/>
          <w:sz w:val="24"/>
          <w:szCs w:val="24"/>
        </w:rPr>
        <w:t xml:space="preserve">átlag alatt teljesítő iskolák eredményességét javítsa matematika területén, egynél több intézmény pedagógusait érintő, de nem országos szinten szerveződő hálózatban. A program a pécsi tankerület belegyezésével, a programban résztvevő tagiskolák vezetésének pedig teljes támogatásával zajlott. </w:t>
      </w:r>
      <w:r w:rsidR="00ED29E7" w:rsidRPr="005A3C94">
        <w:rPr>
          <w:rFonts w:ascii="Times New Roman" w:eastAsia="Times New Roman" w:hAnsi="Times New Roman" w:cs="Times New Roman"/>
          <w:sz w:val="24"/>
          <w:szCs w:val="24"/>
          <w:lang w:eastAsia="en-GB"/>
        </w:rPr>
        <w:t>Az iskolák vezetőivel történt egyeztetés után kiválasztásra került az a 3 tagiskola, amelynek 1-1 ötödik évfolyamos osztálya adta a matematika kísérleti osztályokat, valamint kiválasztásra kerültek a kontrol osztályok is, azaz egy másik tagiskola és egy kísérleti iskola azon ötödikes osztályai, amelyek</w:t>
      </w:r>
      <w:r w:rsidR="00401D62" w:rsidRPr="005A3C94">
        <w:rPr>
          <w:rFonts w:ascii="Times New Roman" w:eastAsia="Times New Roman" w:hAnsi="Times New Roman" w:cs="Times New Roman"/>
          <w:sz w:val="24"/>
          <w:szCs w:val="24"/>
          <w:lang w:eastAsia="en-GB"/>
        </w:rPr>
        <w:t>ben még soha</w:t>
      </w:r>
      <w:r w:rsidR="00ED29E7" w:rsidRPr="005A3C94">
        <w:rPr>
          <w:rFonts w:ascii="Times New Roman" w:eastAsia="Times New Roman" w:hAnsi="Times New Roman" w:cs="Times New Roman"/>
          <w:sz w:val="24"/>
          <w:szCs w:val="24"/>
          <w:lang w:eastAsia="en-GB"/>
        </w:rPr>
        <w:t>sem folyt Kreatív Partnerség program</w:t>
      </w:r>
      <w:r w:rsidR="00401D62" w:rsidRPr="005A3C94">
        <w:rPr>
          <w:rFonts w:ascii="Times New Roman" w:eastAsia="Times New Roman" w:hAnsi="Times New Roman" w:cs="Times New Roman"/>
          <w:sz w:val="24"/>
          <w:szCs w:val="24"/>
          <w:lang w:eastAsia="en-GB"/>
        </w:rPr>
        <w:t>, amelyek matematika tanárai és osztályfőnökei nem ismerik a programot, d</w:t>
      </w:r>
      <w:r w:rsidR="006D217D" w:rsidRPr="005A3C94">
        <w:rPr>
          <w:rFonts w:ascii="Times New Roman" w:eastAsia="Times New Roman" w:hAnsi="Times New Roman" w:cs="Times New Roman"/>
          <w:sz w:val="24"/>
          <w:szCs w:val="24"/>
          <w:lang w:eastAsia="en-GB"/>
        </w:rPr>
        <w:t xml:space="preserve">e a tanulók </w:t>
      </w:r>
      <w:proofErr w:type="spellStart"/>
      <w:r w:rsidR="006D217D" w:rsidRPr="005A3C94">
        <w:rPr>
          <w:rFonts w:ascii="Times New Roman" w:eastAsia="Times New Roman" w:hAnsi="Times New Roman" w:cs="Times New Roman"/>
          <w:sz w:val="24"/>
          <w:szCs w:val="24"/>
          <w:lang w:eastAsia="en-GB"/>
        </w:rPr>
        <w:t>szocio-kulturális</w:t>
      </w:r>
      <w:proofErr w:type="spellEnd"/>
      <w:r w:rsidR="006D217D" w:rsidRPr="005A3C94">
        <w:rPr>
          <w:rFonts w:ascii="Times New Roman" w:eastAsia="Times New Roman" w:hAnsi="Times New Roman" w:cs="Times New Roman"/>
          <w:sz w:val="24"/>
          <w:szCs w:val="24"/>
          <w:lang w:eastAsia="en-GB"/>
        </w:rPr>
        <w:t xml:space="preserve">, </w:t>
      </w:r>
      <w:r w:rsidR="00401D62" w:rsidRPr="005A3C94">
        <w:rPr>
          <w:rFonts w:ascii="Times New Roman" w:eastAsia="Times New Roman" w:hAnsi="Times New Roman" w:cs="Times New Roman"/>
          <w:sz w:val="24"/>
          <w:szCs w:val="24"/>
          <w:lang w:eastAsia="en-GB"/>
        </w:rPr>
        <w:t xml:space="preserve">demográfiai mutatói megegyeznek a kísérleti osztályokéval. </w:t>
      </w:r>
    </w:p>
    <w:p w14:paraId="624FEAD1" w14:textId="00FBAE91" w:rsidR="00B3112D" w:rsidRPr="005A3C94" w:rsidRDefault="00B3112D" w:rsidP="00B3112D">
      <w:pPr>
        <w:pStyle w:val="Listaszerbekezds"/>
        <w:spacing w:after="120" w:line="276" w:lineRule="auto"/>
        <w:ind w:left="0"/>
        <w:jc w:val="both"/>
        <w:rPr>
          <w:rFonts w:ascii="Times New Roman" w:hAnsi="Times New Roman" w:cs="Times New Roman"/>
          <w:sz w:val="24"/>
          <w:szCs w:val="24"/>
        </w:rPr>
      </w:pPr>
    </w:p>
    <w:p w14:paraId="506F45B1" w14:textId="77777777" w:rsidR="00401D62" w:rsidRPr="005A3C94" w:rsidRDefault="00401D62" w:rsidP="00401D62">
      <w:pPr>
        <w:spacing w:after="0" w:line="276" w:lineRule="auto"/>
        <w:jc w:val="both"/>
        <w:rPr>
          <w:rFonts w:ascii="Times New Roman" w:eastAsia="Times New Roman" w:hAnsi="Times New Roman" w:cs="Times New Roman"/>
          <w:sz w:val="24"/>
          <w:szCs w:val="24"/>
          <w:lang w:eastAsia="en-GB"/>
        </w:rPr>
      </w:pPr>
      <w:r w:rsidRPr="005A3C94">
        <w:rPr>
          <w:rFonts w:ascii="Times New Roman" w:eastAsia="Times New Roman" w:hAnsi="Times New Roman" w:cs="Times New Roman"/>
          <w:sz w:val="24"/>
          <w:szCs w:val="24"/>
          <w:lang w:eastAsia="en-GB"/>
        </w:rPr>
        <w:t xml:space="preserve">A pedagógusok és kreatív szakemberek képzésére a Pécsi Tudományegyetem Művészeti Karán 2015 január 26 – 28. között került sor. A tréning a CCE általános gyakorlatához képes rövidebb volt, mivel mind a tanárok, mind a kreatív szakemberek ismerték már a programot. Mindegyik kreatív szakember részt vett az egy évvel korábbi programban. A tréning a matematika tanítására koncentrált. </w:t>
      </w:r>
    </w:p>
    <w:p w14:paraId="07FEC627" w14:textId="77777777" w:rsidR="00553A4E" w:rsidRPr="005A3C94" w:rsidRDefault="00553A4E" w:rsidP="00553A4E">
      <w:pPr>
        <w:pStyle w:val="Listaszerbekezds"/>
        <w:spacing w:after="120" w:line="276" w:lineRule="auto"/>
        <w:ind w:left="0"/>
        <w:jc w:val="both"/>
        <w:rPr>
          <w:rFonts w:ascii="Times New Roman" w:eastAsia="Times New Roman" w:hAnsi="Times New Roman" w:cs="Times New Roman"/>
          <w:sz w:val="24"/>
          <w:szCs w:val="24"/>
          <w:lang w:eastAsia="en-GB"/>
        </w:rPr>
      </w:pPr>
    </w:p>
    <w:p w14:paraId="1EBE3756" w14:textId="12C688C3" w:rsidR="00553A4E" w:rsidRPr="005A3C94" w:rsidRDefault="00553A4E" w:rsidP="00553A4E">
      <w:pPr>
        <w:pStyle w:val="Listaszerbekezds"/>
        <w:spacing w:after="120" w:line="276" w:lineRule="auto"/>
        <w:ind w:left="0"/>
        <w:jc w:val="both"/>
        <w:rPr>
          <w:rFonts w:ascii="Times New Roman" w:hAnsi="Times New Roman" w:cs="Times New Roman"/>
          <w:sz w:val="24"/>
          <w:szCs w:val="24"/>
        </w:rPr>
      </w:pPr>
      <w:r w:rsidRPr="005A3C94">
        <w:rPr>
          <w:rFonts w:ascii="Times New Roman" w:eastAsia="Times New Roman" w:hAnsi="Times New Roman" w:cs="Times New Roman"/>
          <w:sz w:val="24"/>
          <w:szCs w:val="24"/>
          <w:lang w:eastAsia="en-GB"/>
        </w:rPr>
        <w:t>A</w:t>
      </w:r>
      <w:r w:rsidR="00055B53" w:rsidRPr="005A3C94">
        <w:rPr>
          <w:rFonts w:ascii="Times New Roman" w:eastAsia="Times New Roman" w:hAnsi="Times New Roman" w:cs="Times New Roman"/>
          <w:sz w:val="24"/>
          <w:szCs w:val="24"/>
          <w:lang w:eastAsia="en-GB"/>
        </w:rPr>
        <w:t xml:space="preserve"> </w:t>
      </w:r>
      <w:r w:rsidR="00BB623A" w:rsidRPr="005A3C94">
        <w:rPr>
          <w:rFonts w:ascii="Times New Roman" w:eastAsia="Times New Roman" w:hAnsi="Times New Roman" w:cs="Times New Roman"/>
          <w:sz w:val="24"/>
          <w:szCs w:val="24"/>
          <w:lang w:eastAsia="en-GB"/>
        </w:rPr>
        <w:t xml:space="preserve">program tényleges </w:t>
      </w:r>
      <w:r w:rsidR="00055B53" w:rsidRPr="005A3C94">
        <w:rPr>
          <w:rFonts w:ascii="Times New Roman" w:eastAsia="Times New Roman" w:hAnsi="Times New Roman" w:cs="Times New Roman"/>
          <w:sz w:val="24"/>
          <w:szCs w:val="24"/>
          <w:lang w:eastAsia="en-GB"/>
        </w:rPr>
        <w:t>megvalósítás februárban kezdődött</w:t>
      </w:r>
      <w:r w:rsidR="00BB623A" w:rsidRPr="005A3C94">
        <w:rPr>
          <w:rFonts w:ascii="Times New Roman" w:eastAsia="Times New Roman" w:hAnsi="Times New Roman" w:cs="Times New Roman"/>
          <w:sz w:val="24"/>
          <w:szCs w:val="24"/>
          <w:lang w:eastAsia="en-GB"/>
        </w:rPr>
        <w:t>, s</w:t>
      </w:r>
      <w:r w:rsidR="00055B53" w:rsidRPr="005A3C94">
        <w:rPr>
          <w:rFonts w:ascii="Times New Roman" w:eastAsia="Times New Roman" w:hAnsi="Times New Roman" w:cs="Times New Roman"/>
          <w:sz w:val="24"/>
          <w:szCs w:val="24"/>
          <w:lang w:eastAsia="en-GB"/>
        </w:rPr>
        <w:t xml:space="preserve"> minden iskolában </w:t>
      </w:r>
      <w:r w:rsidR="00BB623A" w:rsidRPr="005A3C94">
        <w:rPr>
          <w:rFonts w:ascii="Times New Roman" w:eastAsia="Times New Roman" w:hAnsi="Times New Roman" w:cs="Times New Roman"/>
          <w:sz w:val="24"/>
          <w:szCs w:val="24"/>
          <w:lang w:eastAsia="en-GB"/>
        </w:rPr>
        <w:t>május végéig</w:t>
      </w:r>
      <w:r w:rsidR="00055B53" w:rsidRPr="005A3C94">
        <w:rPr>
          <w:rFonts w:ascii="Times New Roman" w:eastAsia="Times New Roman" w:hAnsi="Times New Roman" w:cs="Times New Roman"/>
          <w:sz w:val="24"/>
          <w:szCs w:val="24"/>
          <w:lang w:eastAsia="en-GB"/>
        </w:rPr>
        <w:t xml:space="preserve"> heti egy alkalommal voltak </w:t>
      </w:r>
      <w:r w:rsidR="00BB623A" w:rsidRPr="005A3C94">
        <w:rPr>
          <w:rFonts w:ascii="Times New Roman" w:eastAsia="Times New Roman" w:hAnsi="Times New Roman" w:cs="Times New Roman"/>
          <w:sz w:val="24"/>
          <w:szCs w:val="24"/>
          <w:lang w:eastAsia="en-GB"/>
        </w:rPr>
        <w:t xml:space="preserve">90 perces tanórák keretében zajló </w:t>
      </w:r>
      <w:r w:rsidR="00055B53" w:rsidRPr="005A3C94">
        <w:rPr>
          <w:rFonts w:ascii="Times New Roman" w:eastAsia="Times New Roman" w:hAnsi="Times New Roman" w:cs="Times New Roman"/>
          <w:sz w:val="24"/>
          <w:szCs w:val="24"/>
          <w:lang w:eastAsia="en-GB"/>
        </w:rPr>
        <w:t xml:space="preserve">foglalkozások. </w:t>
      </w:r>
      <w:r w:rsidRPr="005A3C94">
        <w:rPr>
          <w:rFonts w:ascii="Times New Roman" w:hAnsi="Times New Roman" w:cs="Times New Roman"/>
          <w:sz w:val="24"/>
          <w:szCs w:val="24"/>
        </w:rPr>
        <w:t xml:space="preserve">A kreatív szakemberek ismét párban dolgoztak, így összesen 3 művészpár, azaz 6 képzőművész (festő, szobrász) kezdett el a tanárpárokkal (1 szaktanár, 1 osztályfőnök) közösen dolgozni. A programban összesen 5 darab ötödikes osztály tanulói vettek részt, 46-an tartoztak a kísérleti osztályokba és 47-en pedig a kontrollosztályokba. </w:t>
      </w:r>
      <w:r w:rsidR="006F2FC6" w:rsidRPr="005A3C94">
        <w:rPr>
          <w:rFonts w:ascii="Times New Roman" w:hAnsi="Times New Roman" w:cs="Times New Roman"/>
          <w:sz w:val="24"/>
          <w:szCs w:val="24"/>
        </w:rPr>
        <w:t xml:space="preserve">A kvantitatív elemzés tesztjét csak 88-an töltötték ki be- és kimenetkor is, így csak az ő eredményeiket elemezzük. </w:t>
      </w:r>
    </w:p>
    <w:p w14:paraId="489086F4" w14:textId="460A1881" w:rsidR="00055B53" w:rsidRPr="005A3C94" w:rsidRDefault="00ED29E7" w:rsidP="00055B53">
      <w:pPr>
        <w:spacing w:after="0" w:line="276" w:lineRule="auto"/>
        <w:jc w:val="both"/>
        <w:rPr>
          <w:rFonts w:ascii="Times New Roman" w:eastAsia="Times New Roman" w:hAnsi="Times New Roman" w:cs="Times New Roman"/>
          <w:sz w:val="24"/>
          <w:szCs w:val="24"/>
          <w:lang w:eastAsia="en-GB"/>
        </w:rPr>
      </w:pPr>
      <w:r w:rsidRPr="005A3C94">
        <w:rPr>
          <w:rFonts w:ascii="Times New Roman" w:eastAsia="Times New Roman" w:hAnsi="Times New Roman" w:cs="Times New Roman"/>
          <w:sz w:val="24"/>
          <w:szCs w:val="24"/>
          <w:lang w:eastAsia="en-GB"/>
        </w:rPr>
        <w:t>A program belső – kvalitatív - értékelésére</w:t>
      </w:r>
      <w:r w:rsidR="00055B53" w:rsidRPr="005A3C94">
        <w:rPr>
          <w:rFonts w:ascii="Times New Roman" w:eastAsia="Times New Roman" w:hAnsi="Times New Roman" w:cs="Times New Roman"/>
          <w:sz w:val="24"/>
          <w:szCs w:val="24"/>
          <w:lang w:eastAsia="en-GB"/>
        </w:rPr>
        <w:t xml:space="preserve"> április 24-26. </w:t>
      </w:r>
      <w:r w:rsidRPr="005A3C94">
        <w:rPr>
          <w:rFonts w:ascii="Times New Roman" w:eastAsia="Times New Roman" w:hAnsi="Times New Roman" w:cs="Times New Roman"/>
          <w:sz w:val="24"/>
          <w:szCs w:val="24"/>
          <w:lang w:eastAsia="en-GB"/>
        </w:rPr>
        <w:t>került sor,</w:t>
      </w:r>
      <w:r w:rsidR="00055B53" w:rsidRPr="005A3C94">
        <w:rPr>
          <w:rFonts w:ascii="Times New Roman" w:eastAsia="Times New Roman" w:hAnsi="Times New Roman" w:cs="Times New Roman"/>
          <w:sz w:val="24"/>
          <w:szCs w:val="24"/>
          <w:lang w:eastAsia="en-GB"/>
        </w:rPr>
        <w:t xml:space="preserve"> a kreatív szakemberek és a pedagógusok által kidolgozott</w:t>
      </w:r>
      <w:r w:rsidRPr="005A3C94">
        <w:rPr>
          <w:rFonts w:ascii="Times New Roman" w:eastAsia="Times New Roman" w:hAnsi="Times New Roman" w:cs="Times New Roman"/>
          <w:sz w:val="24"/>
          <w:szCs w:val="24"/>
          <w:lang w:eastAsia="en-GB"/>
        </w:rPr>
        <w:t xml:space="preserve"> és tartott</w:t>
      </w:r>
      <w:r w:rsidR="00055B53" w:rsidRPr="005A3C94">
        <w:rPr>
          <w:rFonts w:ascii="Times New Roman" w:eastAsia="Times New Roman" w:hAnsi="Times New Roman" w:cs="Times New Roman"/>
          <w:sz w:val="24"/>
          <w:szCs w:val="24"/>
          <w:lang w:eastAsia="en-GB"/>
        </w:rPr>
        <w:t xml:space="preserve"> </w:t>
      </w:r>
      <w:r w:rsidRPr="005A3C94">
        <w:rPr>
          <w:rFonts w:ascii="Times New Roman" w:eastAsia="Times New Roman" w:hAnsi="Times New Roman" w:cs="Times New Roman"/>
          <w:sz w:val="24"/>
          <w:szCs w:val="24"/>
          <w:lang w:eastAsia="en-GB"/>
        </w:rPr>
        <w:t>matematika műhelyfoglalkozás megfigyelésével</w:t>
      </w:r>
      <w:r w:rsidR="00055B53" w:rsidRPr="005A3C94">
        <w:rPr>
          <w:rFonts w:ascii="Times New Roman" w:eastAsia="Times New Roman" w:hAnsi="Times New Roman" w:cs="Times New Roman"/>
          <w:sz w:val="24"/>
          <w:szCs w:val="24"/>
          <w:lang w:eastAsia="en-GB"/>
        </w:rPr>
        <w:t xml:space="preserve">, </w:t>
      </w:r>
      <w:r w:rsidRPr="005A3C94">
        <w:rPr>
          <w:rFonts w:ascii="Times New Roman" w:eastAsia="Times New Roman" w:hAnsi="Times New Roman" w:cs="Times New Roman"/>
          <w:sz w:val="24"/>
          <w:szCs w:val="24"/>
          <w:lang w:eastAsia="en-GB"/>
        </w:rPr>
        <w:t>valamint iskolavezetőkkel, a matematikatanárokkal</w:t>
      </w:r>
      <w:r w:rsidR="00055B53" w:rsidRPr="005A3C94">
        <w:rPr>
          <w:rFonts w:ascii="Times New Roman" w:eastAsia="Times New Roman" w:hAnsi="Times New Roman" w:cs="Times New Roman"/>
          <w:sz w:val="24"/>
          <w:szCs w:val="24"/>
          <w:lang w:eastAsia="en-GB"/>
        </w:rPr>
        <w:t>, a kreatív szakemberekkel és a gyerekek egy-egy csoportjával</w:t>
      </w:r>
      <w:r w:rsidRPr="005A3C94">
        <w:rPr>
          <w:rFonts w:ascii="Times New Roman" w:eastAsia="Times New Roman" w:hAnsi="Times New Roman" w:cs="Times New Roman"/>
          <w:sz w:val="24"/>
          <w:szCs w:val="24"/>
          <w:lang w:eastAsia="en-GB"/>
        </w:rPr>
        <w:t xml:space="preserve"> készített interjúk által</w:t>
      </w:r>
      <w:r w:rsidR="00055B53" w:rsidRPr="005A3C94">
        <w:rPr>
          <w:rFonts w:ascii="Times New Roman" w:eastAsia="Times New Roman" w:hAnsi="Times New Roman" w:cs="Times New Roman"/>
          <w:sz w:val="24"/>
          <w:szCs w:val="24"/>
          <w:lang w:eastAsia="en-GB"/>
        </w:rPr>
        <w:t xml:space="preserve">. </w:t>
      </w:r>
    </w:p>
    <w:p w14:paraId="65602570" w14:textId="77777777" w:rsidR="00ED29E7" w:rsidRPr="005A3C94" w:rsidRDefault="00ED29E7" w:rsidP="00055B53">
      <w:pPr>
        <w:spacing w:after="0" w:line="276" w:lineRule="auto"/>
        <w:jc w:val="both"/>
        <w:rPr>
          <w:rFonts w:ascii="Times New Roman" w:eastAsia="Times New Roman" w:hAnsi="Times New Roman" w:cs="Times New Roman"/>
          <w:sz w:val="24"/>
          <w:szCs w:val="24"/>
          <w:lang w:eastAsia="en-GB"/>
        </w:rPr>
      </w:pPr>
    </w:p>
    <w:p w14:paraId="416ABB3E" w14:textId="77777777" w:rsidR="00C65226" w:rsidRPr="005A3C94" w:rsidRDefault="00C65226" w:rsidP="00055B53">
      <w:pPr>
        <w:spacing w:after="0" w:line="276" w:lineRule="auto"/>
        <w:jc w:val="both"/>
        <w:rPr>
          <w:rFonts w:ascii="Times New Roman" w:eastAsia="Times New Roman" w:hAnsi="Times New Roman" w:cs="Times New Roman"/>
          <w:sz w:val="24"/>
          <w:szCs w:val="24"/>
          <w:lang w:eastAsia="en-GB"/>
        </w:rPr>
      </w:pPr>
    </w:p>
    <w:p w14:paraId="369E01AE" w14:textId="088FC3AA" w:rsidR="00C65226" w:rsidRPr="005A3C94" w:rsidRDefault="00C65226" w:rsidP="00C65226">
      <w:pPr>
        <w:pStyle w:val="Cmsor2"/>
        <w:rPr>
          <w:rFonts w:eastAsia="Times New Roman"/>
          <w:lang w:eastAsia="en-GB"/>
        </w:rPr>
      </w:pPr>
      <w:r w:rsidRPr="005A3C94">
        <w:rPr>
          <w:rFonts w:eastAsia="Times New Roman"/>
          <w:lang w:eastAsia="en-GB"/>
        </w:rPr>
        <w:t xml:space="preserve"> </w:t>
      </w:r>
      <w:bookmarkStart w:id="6" w:name="_Toc437242816"/>
      <w:r w:rsidRPr="005A3C94">
        <w:rPr>
          <w:rFonts w:eastAsia="Times New Roman"/>
          <w:lang w:eastAsia="en-GB"/>
        </w:rPr>
        <w:t>A kvalitatív vizsgálat fő eredményei</w:t>
      </w:r>
      <w:bookmarkEnd w:id="6"/>
    </w:p>
    <w:p w14:paraId="66B346FA" w14:textId="77777777" w:rsidR="00C65226" w:rsidRPr="005A3C94" w:rsidRDefault="00C65226" w:rsidP="00C65226">
      <w:pPr>
        <w:pStyle w:val="Listaszerbekezds"/>
        <w:spacing w:after="0" w:line="276" w:lineRule="auto"/>
        <w:ind w:left="1080"/>
        <w:jc w:val="both"/>
        <w:rPr>
          <w:rFonts w:ascii="Times New Roman" w:eastAsia="Times New Roman" w:hAnsi="Times New Roman" w:cs="Times New Roman"/>
          <w:sz w:val="24"/>
          <w:szCs w:val="24"/>
          <w:lang w:eastAsia="en-GB"/>
        </w:rPr>
      </w:pPr>
    </w:p>
    <w:p w14:paraId="56C1A0B6" w14:textId="56FC8875" w:rsidR="00BB623A" w:rsidRPr="005A3C94" w:rsidRDefault="00BB623A" w:rsidP="00BB623A">
      <w:pPr>
        <w:spacing w:after="0" w:line="276" w:lineRule="auto"/>
        <w:jc w:val="both"/>
        <w:rPr>
          <w:rFonts w:ascii="Times New Roman" w:eastAsia="Times New Roman" w:hAnsi="Times New Roman" w:cs="Times New Roman"/>
          <w:sz w:val="24"/>
          <w:szCs w:val="24"/>
          <w:lang w:eastAsia="en-GB"/>
        </w:rPr>
      </w:pPr>
      <w:r w:rsidRPr="005A3C94">
        <w:rPr>
          <w:rFonts w:ascii="Times New Roman" w:eastAsia="Times New Roman" w:hAnsi="Times New Roman" w:cs="Times New Roman"/>
          <w:sz w:val="24"/>
          <w:szCs w:val="24"/>
          <w:lang w:eastAsia="en-GB"/>
        </w:rPr>
        <w:t xml:space="preserve">Mindegyik megfigyelt órából, valamint </w:t>
      </w:r>
      <w:r w:rsidR="000355C2" w:rsidRPr="005A3C94">
        <w:rPr>
          <w:rFonts w:ascii="Times New Roman" w:eastAsia="Times New Roman" w:hAnsi="Times New Roman" w:cs="Times New Roman"/>
          <w:sz w:val="24"/>
          <w:szCs w:val="24"/>
          <w:lang w:eastAsia="en-GB"/>
        </w:rPr>
        <w:t>az interjúkból</w:t>
      </w:r>
      <w:r w:rsidRPr="005A3C94">
        <w:rPr>
          <w:rFonts w:ascii="Times New Roman" w:eastAsia="Times New Roman" w:hAnsi="Times New Roman" w:cs="Times New Roman"/>
          <w:sz w:val="24"/>
          <w:szCs w:val="24"/>
          <w:lang w:eastAsia="en-GB"/>
        </w:rPr>
        <w:t xml:space="preserve"> világosan kiderült, hogy </w:t>
      </w:r>
      <w:r w:rsidR="000355C2" w:rsidRPr="005A3C94">
        <w:rPr>
          <w:rFonts w:ascii="Times New Roman" w:eastAsia="Times New Roman" w:hAnsi="Times New Roman" w:cs="Times New Roman"/>
          <w:sz w:val="24"/>
          <w:szCs w:val="24"/>
          <w:lang w:eastAsia="en-GB"/>
        </w:rPr>
        <w:t xml:space="preserve">a kísérleti matematika órákon </w:t>
      </w:r>
      <w:r w:rsidRPr="005A3C94">
        <w:rPr>
          <w:rFonts w:ascii="Times New Roman" w:eastAsia="Times New Roman" w:hAnsi="Times New Roman" w:cs="Times New Roman"/>
          <w:sz w:val="24"/>
          <w:szCs w:val="24"/>
          <w:lang w:eastAsia="en-GB"/>
        </w:rPr>
        <w:t>új munkamódszerek, újfajta beszélgetés</w:t>
      </w:r>
      <w:r w:rsidR="000355C2" w:rsidRPr="005A3C94">
        <w:rPr>
          <w:rFonts w:ascii="Times New Roman" w:eastAsia="Times New Roman" w:hAnsi="Times New Roman" w:cs="Times New Roman"/>
          <w:sz w:val="24"/>
          <w:szCs w:val="24"/>
          <w:lang w:eastAsia="en-GB"/>
        </w:rPr>
        <w:t>i módok</w:t>
      </w:r>
      <w:r w:rsidRPr="005A3C94">
        <w:rPr>
          <w:rFonts w:ascii="Times New Roman" w:eastAsia="Times New Roman" w:hAnsi="Times New Roman" w:cs="Times New Roman"/>
          <w:sz w:val="24"/>
          <w:szCs w:val="24"/>
          <w:lang w:eastAsia="en-GB"/>
        </w:rPr>
        <w:t xml:space="preserve">, </w:t>
      </w:r>
      <w:r w:rsidR="000355C2" w:rsidRPr="005A3C94">
        <w:rPr>
          <w:rFonts w:ascii="Times New Roman" w:eastAsia="Times New Roman" w:hAnsi="Times New Roman" w:cs="Times New Roman"/>
          <w:sz w:val="24"/>
          <w:szCs w:val="24"/>
          <w:lang w:eastAsia="en-GB"/>
        </w:rPr>
        <w:t xml:space="preserve">új </w:t>
      </w:r>
      <w:r w:rsidRPr="005A3C94">
        <w:rPr>
          <w:rFonts w:ascii="Times New Roman" w:eastAsia="Times New Roman" w:hAnsi="Times New Roman" w:cs="Times New Roman"/>
          <w:sz w:val="24"/>
          <w:szCs w:val="24"/>
          <w:lang w:eastAsia="en-GB"/>
        </w:rPr>
        <w:t>gondolkodás</w:t>
      </w:r>
      <w:r w:rsidR="000355C2" w:rsidRPr="005A3C94">
        <w:rPr>
          <w:rFonts w:ascii="Times New Roman" w:eastAsia="Times New Roman" w:hAnsi="Times New Roman" w:cs="Times New Roman"/>
          <w:sz w:val="24"/>
          <w:szCs w:val="24"/>
          <w:lang w:eastAsia="en-GB"/>
        </w:rPr>
        <w:t>i keretek</w:t>
      </w:r>
      <w:r w:rsidRPr="005A3C94">
        <w:rPr>
          <w:rFonts w:ascii="Times New Roman" w:eastAsia="Times New Roman" w:hAnsi="Times New Roman" w:cs="Times New Roman"/>
          <w:sz w:val="24"/>
          <w:szCs w:val="24"/>
          <w:lang w:eastAsia="en-GB"/>
        </w:rPr>
        <w:t xml:space="preserve"> és értékelés került bevezetésre. Ennek számos megnyilvánulása volt:</w:t>
      </w:r>
    </w:p>
    <w:p w14:paraId="5D3F3D68" w14:textId="77777777" w:rsidR="00BB623A" w:rsidRPr="005A3C94" w:rsidRDefault="00BB623A" w:rsidP="00BB623A">
      <w:pPr>
        <w:spacing w:after="0" w:line="276" w:lineRule="auto"/>
        <w:jc w:val="both"/>
        <w:rPr>
          <w:rFonts w:ascii="Times New Roman" w:eastAsia="Times New Roman" w:hAnsi="Times New Roman" w:cs="Times New Roman"/>
          <w:sz w:val="24"/>
          <w:szCs w:val="24"/>
          <w:lang w:eastAsia="en-GB"/>
        </w:rPr>
      </w:pPr>
    </w:p>
    <w:p w14:paraId="1A2694F5" w14:textId="73830FDB" w:rsidR="00BB623A" w:rsidRPr="005A3C94" w:rsidRDefault="00BB623A" w:rsidP="00C65226">
      <w:pPr>
        <w:pStyle w:val="Listaszerbekezds"/>
        <w:numPr>
          <w:ilvl w:val="0"/>
          <w:numId w:val="22"/>
        </w:numPr>
        <w:spacing w:after="0" w:line="276" w:lineRule="auto"/>
        <w:jc w:val="both"/>
        <w:rPr>
          <w:rFonts w:ascii="Times New Roman" w:eastAsia="Times New Roman" w:hAnsi="Times New Roman" w:cs="Times New Roman"/>
          <w:sz w:val="24"/>
          <w:szCs w:val="24"/>
          <w:lang w:eastAsia="en-GB"/>
        </w:rPr>
      </w:pPr>
      <w:r w:rsidRPr="005A3C94">
        <w:rPr>
          <w:rFonts w:ascii="Times New Roman" w:eastAsia="Times New Roman" w:hAnsi="Times New Roman" w:cs="Times New Roman"/>
          <w:sz w:val="24"/>
          <w:szCs w:val="24"/>
          <w:lang w:eastAsia="en-GB"/>
        </w:rPr>
        <w:t xml:space="preserve">A tanárok és a kreatív szakemberek kísérleteztek a foglalkozások hosszával. A legsikeresebb esetekben az óra 90 perces volt, és mindvégig sikerült a gyerekeket lekötni, figyelmüket az órai eseményekre irányítani. Ugyanakkor az is megfigyelhető volt, hogy a gyerekeknek időre volt szükségük, hogy hozzászokjanak a hosszabb foglalkozáshoz, és kezdetben voltak magatartásproblémák. </w:t>
      </w:r>
    </w:p>
    <w:p w14:paraId="552D3C7E" w14:textId="231967D3" w:rsidR="00BB623A" w:rsidRPr="005A3C94" w:rsidRDefault="00BB623A" w:rsidP="00BB623A">
      <w:pPr>
        <w:pStyle w:val="Listaszerbekezds"/>
        <w:numPr>
          <w:ilvl w:val="0"/>
          <w:numId w:val="22"/>
        </w:numPr>
        <w:spacing w:after="0" w:line="276" w:lineRule="auto"/>
        <w:jc w:val="both"/>
        <w:rPr>
          <w:rFonts w:ascii="Times New Roman" w:eastAsia="Times New Roman" w:hAnsi="Times New Roman" w:cs="Times New Roman"/>
          <w:sz w:val="24"/>
          <w:szCs w:val="24"/>
          <w:lang w:eastAsia="en-GB"/>
        </w:rPr>
      </w:pPr>
      <w:r w:rsidRPr="005A3C94">
        <w:rPr>
          <w:rFonts w:ascii="Times New Roman" w:eastAsia="Times New Roman" w:hAnsi="Times New Roman" w:cs="Times New Roman"/>
          <w:sz w:val="24"/>
          <w:szCs w:val="24"/>
          <w:lang w:eastAsia="en-GB"/>
        </w:rPr>
        <w:t>Az órák tervezése során a tanárok és a művészek gondosan ügyeltek arra, hogy minden foglalkozáson legye</w:t>
      </w:r>
      <w:r w:rsidR="000355C2" w:rsidRPr="005A3C94">
        <w:rPr>
          <w:rFonts w:ascii="Times New Roman" w:eastAsia="Times New Roman" w:hAnsi="Times New Roman" w:cs="Times New Roman"/>
          <w:sz w:val="24"/>
          <w:szCs w:val="24"/>
          <w:lang w:eastAsia="en-GB"/>
        </w:rPr>
        <w:t>n idő a „közösségépítésre”. Az egyik</w:t>
      </w:r>
      <w:r w:rsidRPr="005A3C94">
        <w:rPr>
          <w:rFonts w:ascii="Times New Roman" w:eastAsia="Times New Roman" w:hAnsi="Times New Roman" w:cs="Times New Roman"/>
          <w:sz w:val="24"/>
          <w:szCs w:val="24"/>
          <w:lang w:eastAsia="en-GB"/>
        </w:rPr>
        <w:t xml:space="preserve"> iskolában például az óra a következő asszociatív gyakorlattal kezdődött: A gyerekek körben álltak és mindenki kihúzta valamelyik osztálytársa nevét egy kalapból. Ezután minden tanulónak meg kellett mondani, hogy az általa húzott társa milyen virág lenne, és miért pont az. Mindegyik tanuló nagylelkű volt a virágválasztásnál és az indoklásnál is – mindez pozitív légkört teremtett az osztályban. Ezen kívül minden gyerek egyéni figyelmet kap</w:t>
      </w:r>
      <w:r w:rsidR="000355C2" w:rsidRPr="005A3C94">
        <w:rPr>
          <w:rFonts w:ascii="Times New Roman" w:eastAsia="Times New Roman" w:hAnsi="Times New Roman" w:cs="Times New Roman"/>
          <w:sz w:val="24"/>
          <w:szCs w:val="24"/>
          <w:lang w:eastAsia="en-GB"/>
        </w:rPr>
        <w:t>ott</w:t>
      </w:r>
      <w:r w:rsidRPr="005A3C94">
        <w:rPr>
          <w:rFonts w:ascii="Times New Roman" w:eastAsia="Times New Roman" w:hAnsi="Times New Roman" w:cs="Times New Roman"/>
          <w:sz w:val="24"/>
          <w:szCs w:val="24"/>
          <w:lang w:eastAsia="en-GB"/>
        </w:rPr>
        <w:t xml:space="preserve"> a csoport egészétől. Az egyes gyerekek egyedi voltára és sokszínűségére épülő osztályközösség a kooperatív, minden gyereknek kibontakozási lehetőséget biztosító tanulási környezet igen fontos eleme.</w:t>
      </w:r>
    </w:p>
    <w:p w14:paraId="43767E2C" w14:textId="77777777" w:rsidR="00BB623A" w:rsidRPr="005A3C94" w:rsidRDefault="00BB623A" w:rsidP="00BB623A">
      <w:pPr>
        <w:pStyle w:val="Listaszerbekezds"/>
        <w:spacing w:line="276" w:lineRule="auto"/>
        <w:jc w:val="both"/>
        <w:rPr>
          <w:rFonts w:ascii="Times New Roman" w:eastAsia="Times New Roman" w:hAnsi="Times New Roman" w:cs="Times New Roman"/>
          <w:sz w:val="24"/>
          <w:szCs w:val="24"/>
          <w:lang w:eastAsia="en-GB"/>
        </w:rPr>
      </w:pPr>
    </w:p>
    <w:p w14:paraId="33D33401" w14:textId="3DE7D105" w:rsidR="00BB623A" w:rsidRPr="005A3C94" w:rsidRDefault="00BB623A" w:rsidP="00BB623A">
      <w:pPr>
        <w:pStyle w:val="Listaszerbekezds"/>
        <w:numPr>
          <w:ilvl w:val="0"/>
          <w:numId w:val="22"/>
        </w:numPr>
        <w:spacing w:after="0" w:line="276" w:lineRule="auto"/>
        <w:jc w:val="both"/>
        <w:rPr>
          <w:rFonts w:ascii="Times New Roman" w:eastAsia="Times New Roman" w:hAnsi="Times New Roman" w:cs="Times New Roman"/>
          <w:sz w:val="24"/>
          <w:szCs w:val="24"/>
          <w:lang w:eastAsia="en-GB"/>
        </w:rPr>
      </w:pPr>
      <w:r w:rsidRPr="005A3C94">
        <w:rPr>
          <w:rFonts w:ascii="Times New Roman" w:eastAsia="Times New Roman" w:hAnsi="Times New Roman" w:cs="Times New Roman"/>
          <w:sz w:val="24"/>
          <w:szCs w:val="24"/>
          <w:lang w:eastAsia="en-GB"/>
        </w:rPr>
        <w:t xml:space="preserve">Valamennyi megfigyelt óra és a többi óráról készült leírás is arról tanúskodott, hogy az osztálytermen belüli és azon kívüli teret rugalmasan és ötletesen használták ki. Mindegyik pedagógus arról számolt be, hogy a több mozgással járó matekórákon javult a tanulók koncentrálóképessége és tanulási teljesítménye. </w:t>
      </w:r>
      <w:r w:rsidR="000355C2" w:rsidRPr="005A3C94">
        <w:rPr>
          <w:rFonts w:ascii="Times New Roman" w:eastAsia="Times New Roman" w:hAnsi="Times New Roman" w:cs="Times New Roman"/>
          <w:sz w:val="24"/>
          <w:szCs w:val="24"/>
          <w:lang w:eastAsia="en-GB"/>
        </w:rPr>
        <w:t>Az egyik</w:t>
      </w:r>
      <w:r w:rsidRPr="005A3C94">
        <w:rPr>
          <w:rFonts w:ascii="Times New Roman" w:eastAsia="Times New Roman" w:hAnsi="Times New Roman" w:cs="Times New Roman"/>
          <w:sz w:val="24"/>
          <w:szCs w:val="24"/>
          <w:lang w:eastAsia="en-GB"/>
        </w:rPr>
        <w:t xml:space="preserve"> iskolában a gyerekek nagy csomagolópapír lapokat kaptak, és az volt a feladatuk, hogy rajzolják körül az egyes testrészeiket, majd mérjék le őket, és a méreteket különféle számításoknál használják fel. Az egyik kislány, aki általában kivonta magát a matematika órai tanulásból igen lelkesen mélyült el ebben a feladatban, és rendkívül </w:t>
      </w:r>
      <w:proofErr w:type="spellStart"/>
      <w:r w:rsidRPr="005A3C94">
        <w:rPr>
          <w:rFonts w:ascii="Times New Roman" w:eastAsia="Times New Roman" w:hAnsi="Times New Roman" w:cs="Times New Roman"/>
          <w:sz w:val="24"/>
          <w:szCs w:val="24"/>
          <w:lang w:eastAsia="en-GB"/>
        </w:rPr>
        <w:t>invenciózusan</w:t>
      </w:r>
      <w:proofErr w:type="spellEnd"/>
      <w:r w:rsidRPr="005A3C94">
        <w:rPr>
          <w:rFonts w:ascii="Times New Roman" w:eastAsia="Times New Roman" w:hAnsi="Times New Roman" w:cs="Times New Roman"/>
          <w:sz w:val="24"/>
          <w:szCs w:val="24"/>
          <w:lang w:eastAsia="en-GB"/>
        </w:rPr>
        <w:t xml:space="preserve"> próbálgatta, hogyan tudná leginkább megoldani. Saját kíváncsisága és képzelőereje segítségével körül tudta </w:t>
      </w:r>
      <w:r w:rsidR="000355C2" w:rsidRPr="005A3C94">
        <w:rPr>
          <w:rFonts w:ascii="Times New Roman" w:eastAsia="Times New Roman" w:hAnsi="Times New Roman" w:cs="Times New Roman"/>
          <w:sz w:val="24"/>
          <w:szCs w:val="24"/>
          <w:lang w:eastAsia="en-GB"/>
        </w:rPr>
        <w:t xml:space="preserve">járni az újonnan bevezetett matematikai </w:t>
      </w:r>
      <w:r w:rsidRPr="005A3C94">
        <w:rPr>
          <w:rFonts w:ascii="Times New Roman" w:eastAsia="Times New Roman" w:hAnsi="Times New Roman" w:cs="Times New Roman"/>
          <w:sz w:val="24"/>
          <w:szCs w:val="24"/>
          <w:lang w:eastAsia="en-GB"/>
        </w:rPr>
        <w:t>fogalmat.</w:t>
      </w:r>
    </w:p>
    <w:p w14:paraId="487ED1EB" w14:textId="77777777" w:rsidR="00BB623A" w:rsidRPr="005A3C94" w:rsidRDefault="00BB623A" w:rsidP="00BB623A">
      <w:pPr>
        <w:pStyle w:val="Listaszerbekezds"/>
        <w:spacing w:line="276" w:lineRule="auto"/>
        <w:jc w:val="both"/>
        <w:rPr>
          <w:rFonts w:ascii="Times New Roman" w:eastAsia="Times New Roman" w:hAnsi="Times New Roman" w:cs="Times New Roman"/>
          <w:sz w:val="24"/>
          <w:szCs w:val="24"/>
          <w:lang w:eastAsia="en-GB"/>
        </w:rPr>
      </w:pPr>
    </w:p>
    <w:p w14:paraId="4448101E" w14:textId="35C67B7C" w:rsidR="00BB623A" w:rsidRPr="005A3C94" w:rsidRDefault="00BB623A" w:rsidP="00BB623A">
      <w:pPr>
        <w:pStyle w:val="Listaszerbekezds"/>
        <w:numPr>
          <w:ilvl w:val="0"/>
          <w:numId w:val="22"/>
        </w:numPr>
        <w:spacing w:after="0" w:line="276" w:lineRule="auto"/>
        <w:jc w:val="both"/>
        <w:rPr>
          <w:rFonts w:ascii="Times New Roman" w:eastAsia="Times New Roman" w:hAnsi="Times New Roman" w:cs="Times New Roman"/>
          <w:sz w:val="24"/>
          <w:szCs w:val="24"/>
          <w:lang w:eastAsia="en-GB"/>
        </w:rPr>
      </w:pPr>
      <w:r w:rsidRPr="005A3C94">
        <w:rPr>
          <w:rFonts w:ascii="Times New Roman" w:eastAsia="Times New Roman" w:hAnsi="Times New Roman" w:cs="Times New Roman"/>
          <w:sz w:val="24"/>
          <w:szCs w:val="24"/>
          <w:lang w:eastAsia="en-GB"/>
        </w:rPr>
        <w:t xml:space="preserve">A megfigyelt órák mindegyikén volt idő a hatékony reflektív tanulásra. Egyes esetekben a gyerekek az egész osztály kedvéért elismételték, hogy mit végeztek a kiscsoportos munka során, ezáltal erősödött a bevésés és a főbb fogalmak megértése. Ezekből a megbeszélésekből általában kiderült a tanár számára, </w:t>
      </w:r>
      <w:r w:rsidR="000355C2" w:rsidRPr="005A3C94">
        <w:rPr>
          <w:rFonts w:ascii="Times New Roman" w:eastAsia="Times New Roman" w:hAnsi="Times New Roman" w:cs="Times New Roman"/>
          <w:sz w:val="24"/>
          <w:szCs w:val="24"/>
          <w:lang w:eastAsia="en-GB"/>
        </w:rPr>
        <w:t>hogy milyen</w:t>
      </w:r>
      <w:r w:rsidRPr="005A3C94">
        <w:rPr>
          <w:rFonts w:ascii="Times New Roman" w:eastAsia="Times New Roman" w:hAnsi="Times New Roman" w:cs="Times New Roman"/>
          <w:sz w:val="24"/>
          <w:szCs w:val="24"/>
          <w:lang w:eastAsia="en-GB"/>
        </w:rPr>
        <w:t xml:space="preserve"> tanulási folyamat zajlott le, és mi az, amit a későbbiek során még meg kell erősíteni. A megbeszélések is hozzájárultak az osztályközösség építéséhez. Érdekes volt megfigyelni, hogy a</w:t>
      </w:r>
      <w:r w:rsidR="000355C2" w:rsidRPr="005A3C94">
        <w:rPr>
          <w:rFonts w:ascii="Times New Roman" w:eastAsia="Times New Roman" w:hAnsi="Times New Roman" w:cs="Times New Roman"/>
          <w:sz w:val="24"/>
          <w:szCs w:val="24"/>
          <w:lang w:eastAsia="en-GB"/>
        </w:rPr>
        <w:t>z egyik</w:t>
      </w:r>
      <w:r w:rsidRPr="005A3C94">
        <w:rPr>
          <w:rFonts w:ascii="Times New Roman" w:eastAsia="Times New Roman" w:hAnsi="Times New Roman" w:cs="Times New Roman"/>
          <w:sz w:val="24"/>
          <w:szCs w:val="24"/>
          <w:lang w:eastAsia="en-GB"/>
        </w:rPr>
        <w:t xml:space="preserve"> iskolában egy viszonylag nagyobb létszámú osztály (22 tanuló) is képes volt a reflektív megbeszélésre anélkül, hogy elkalandozott volna a figyelmük. </w:t>
      </w:r>
    </w:p>
    <w:p w14:paraId="1B9F3062" w14:textId="77777777" w:rsidR="00BB623A" w:rsidRPr="005A3C94" w:rsidRDefault="00BB623A" w:rsidP="00BB623A">
      <w:pPr>
        <w:spacing w:after="0" w:line="276" w:lineRule="auto"/>
        <w:jc w:val="both"/>
        <w:rPr>
          <w:rFonts w:ascii="Times New Roman" w:eastAsia="Times New Roman" w:hAnsi="Times New Roman" w:cs="Times New Roman"/>
          <w:b/>
          <w:sz w:val="24"/>
          <w:szCs w:val="24"/>
          <w:lang w:eastAsia="en-GB"/>
        </w:rPr>
      </w:pPr>
    </w:p>
    <w:p w14:paraId="784BA3F8" w14:textId="24E4328A" w:rsidR="00BB623A" w:rsidRPr="005A3C94" w:rsidRDefault="00BB623A" w:rsidP="00BB623A">
      <w:pPr>
        <w:pStyle w:val="Listaszerbekezds"/>
        <w:numPr>
          <w:ilvl w:val="0"/>
          <w:numId w:val="23"/>
        </w:numPr>
        <w:spacing w:after="0" w:line="276" w:lineRule="auto"/>
        <w:jc w:val="both"/>
        <w:rPr>
          <w:rFonts w:ascii="Times New Roman" w:eastAsia="Times New Roman" w:hAnsi="Times New Roman" w:cs="Times New Roman"/>
          <w:sz w:val="24"/>
          <w:szCs w:val="24"/>
          <w:lang w:eastAsia="en-GB"/>
        </w:rPr>
      </w:pPr>
      <w:r w:rsidRPr="005A3C94">
        <w:rPr>
          <w:rFonts w:ascii="Times New Roman" w:eastAsia="Times New Roman" w:hAnsi="Times New Roman" w:cs="Times New Roman"/>
          <w:sz w:val="24"/>
          <w:szCs w:val="24"/>
          <w:lang w:eastAsia="en-GB"/>
        </w:rPr>
        <w:t xml:space="preserve">A tevékenységek azt tükrözték, hogy tervezésükkor figyelmet fordítottak a kihívásra, az együttműködésre, az autentikusságra, a bevonásra, a mobilitásra és a rugalmasságra. </w:t>
      </w:r>
      <w:r w:rsidR="000355C2" w:rsidRPr="005A3C94">
        <w:rPr>
          <w:rFonts w:ascii="Times New Roman" w:eastAsia="Times New Roman" w:hAnsi="Times New Roman" w:cs="Times New Roman"/>
          <w:sz w:val="24"/>
          <w:szCs w:val="24"/>
          <w:lang w:eastAsia="en-GB"/>
        </w:rPr>
        <w:t>Az egyik</w:t>
      </w:r>
      <w:r w:rsidRPr="005A3C94">
        <w:rPr>
          <w:rFonts w:ascii="Times New Roman" w:eastAsia="Times New Roman" w:hAnsi="Times New Roman" w:cs="Times New Roman"/>
          <w:sz w:val="24"/>
          <w:szCs w:val="24"/>
          <w:lang w:eastAsia="en-GB"/>
        </w:rPr>
        <w:t xml:space="preserve"> iskolában például egy 90 perces tanórát figyeltünk meg. Az óra bemelegítő gyakorlattal kezdődött. Ezután a tanár elmagyarázta az aznapi fő feladatot. A tanulók négy csapatra oszlottak. Az iskolában és az iskolán kívül összesen négy „állomás” volt, mindegyik állomáson egy-egy boríték várja a csapatokat, egy-egy feladat leírásával. A feladatot meg kell oldani, illetve teljesíteni kell, ezután a csapat továbbmehet a következő állomáshoz. Az állomáson egy-egy felnőtt volt, akik nem irányították a gyerekeket, de ha valami nem volt világos a feladatban, a gyerekek kérdezhettek és a felnőttek válaszoltak. </w:t>
      </w:r>
    </w:p>
    <w:p w14:paraId="08DE6BA4" w14:textId="77777777" w:rsidR="00BB623A" w:rsidRPr="005A3C94" w:rsidRDefault="00BB623A" w:rsidP="00BB623A">
      <w:pPr>
        <w:pStyle w:val="Listaszerbekezds"/>
        <w:spacing w:after="0" w:line="276" w:lineRule="auto"/>
        <w:jc w:val="both"/>
        <w:rPr>
          <w:rFonts w:ascii="Times New Roman" w:eastAsia="Times New Roman" w:hAnsi="Times New Roman" w:cs="Times New Roman"/>
          <w:sz w:val="24"/>
          <w:szCs w:val="24"/>
          <w:lang w:eastAsia="en-GB"/>
        </w:rPr>
      </w:pPr>
    </w:p>
    <w:p w14:paraId="57D42082" w14:textId="77777777" w:rsidR="00BB623A" w:rsidRPr="005A3C94" w:rsidRDefault="00BB623A" w:rsidP="00BB623A">
      <w:pPr>
        <w:pStyle w:val="Listaszerbekezds"/>
        <w:numPr>
          <w:ilvl w:val="0"/>
          <w:numId w:val="23"/>
        </w:numPr>
        <w:spacing w:after="0" w:line="276" w:lineRule="auto"/>
        <w:jc w:val="both"/>
        <w:rPr>
          <w:rFonts w:ascii="Times New Roman" w:eastAsia="Times New Roman" w:hAnsi="Times New Roman" w:cs="Times New Roman"/>
          <w:sz w:val="24"/>
          <w:szCs w:val="24"/>
          <w:lang w:eastAsia="en-GB"/>
        </w:rPr>
      </w:pPr>
      <w:r w:rsidRPr="005A3C94">
        <w:rPr>
          <w:rFonts w:ascii="Times New Roman" w:eastAsia="Times New Roman" w:hAnsi="Times New Roman" w:cs="Times New Roman"/>
          <w:sz w:val="24"/>
          <w:szCs w:val="24"/>
          <w:lang w:eastAsia="en-GB"/>
        </w:rPr>
        <w:t xml:space="preserve">Mindegyik feladat a számtanhoz és mértanhoz kapcsolódott. Az egyik állomáson az volt a feladat, hogy a csapat minden tagja fusson le egy 200 méteres kört és mérjék egymás idejét. Ezután ki kellett számítani a csapatátlagot. Egy másik állomáson megadott síkidomokat kellett rajzolniuk (téglalapot, négyzetet, kört, háromszöget), majd rá kellett jönni, hogyan lehet a síkidomot 8, 6, stb. egyenlő részre osztani, és ki kellett színezni egy részt (pl. </w:t>
      </w:r>
      <w:proofErr w:type="spellStart"/>
      <w:r w:rsidRPr="005A3C94">
        <w:rPr>
          <w:rFonts w:ascii="Times New Roman" w:eastAsia="Times New Roman" w:hAnsi="Times New Roman" w:cs="Times New Roman"/>
          <w:sz w:val="24"/>
          <w:szCs w:val="24"/>
          <w:lang w:eastAsia="en-GB"/>
        </w:rPr>
        <w:t>egynyolcad</w:t>
      </w:r>
      <w:proofErr w:type="spellEnd"/>
      <w:r w:rsidRPr="005A3C94">
        <w:rPr>
          <w:rFonts w:ascii="Times New Roman" w:eastAsia="Times New Roman" w:hAnsi="Times New Roman" w:cs="Times New Roman"/>
          <w:sz w:val="24"/>
          <w:szCs w:val="24"/>
          <w:lang w:eastAsia="en-GB"/>
        </w:rPr>
        <w:t xml:space="preserve"> vagy </w:t>
      </w:r>
      <w:proofErr w:type="spellStart"/>
      <w:r w:rsidRPr="005A3C94">
        <w:rPr>
          <w:rFonts w:ascii="Times New Roman" w:eastAsia="Times New Roman" w:hAnsi="Times New Roman" w:cs="Times New Roman"/>
          <w:sz w:val="24"/>
          <w:szCs w:val="24"/>
          <w:lang w:eastAsia="en-GB"/>
        </w:rPr>
        <w:t>egyhatod</w:t>
      </w:r>
      <w:proofErr w:type="spellEnd"/>
      <w:r w:rsidRPr="005A3C94">
        <w:rPr>
          <w:rFonts w:ascii="Times New Roman" w:eastAsia="Times New Roman" w:hAnsi="Times New Roman" w:cs="Times New Roman"/>
          <w:sz w:val="24"/>
          <w:szCs w:val="24"/>
          <w:lang w:eastAsia="en-GB"/>
        </w:rPr>
        <w:t xml:space="preserve"> részt). Az órát tehát </w:t>
      </w:r>
      <w:r w:rsidRPr="005A3C94">
        <w:rPr>
          <w:rFonts w:ascii="Times New Roman" w:eastAsia="Times New Roman" w:hAnsi="Times New Roman" w:cs="Times New Roman"/>
          <w:b/>
          <w:sz w:val="24"/>
          <w:szCs w:val="24"/>
          <w:lang w:eastAsia="en-GB"/>
        </w:rPr>
        <w:t>kihívások</w:t>
      </w:r>
      <w:r w:rsidRPr="005A3C94">
        <w:rPr>
          <w:rFonts w:ascii="Times New Roman" w:eastAsia="Times New Roman" w:hAnsi="Times New Roman" w:cs="Times New Roman"/>
          <w:sz w:val="24"/>
          <w:szCs w:val="24"/>
          <w:lang w:eastAsia="en-GB"/>
        </w:rPr>
        <w:t xml:space="preserve"> sorozataként tervezték meg, és a kihívást jelentő feladatokra a gyerekeknek önállóan kellett megtalálni a helyes választ.  Az óra során komplex egyeztetések, megbeszélések sorozatára volt szükség a csapatokon belül (hogyan oldjuk meg ezt a feladatot?), a csoportok között (milyen sorrendben haladjunk át az állomásokon, hogy ne akkor érjünk oda, amikor egy másik csapat még ott van?) és a felnőttekkel (hogy választ kapjanak a kérdéseikre, amikor nem voltak biztosak benne, miben is áll pontosan a feladat). Mindez szofisztikált </w:t>
      </w:r>
      <w:r w:rsidRPr="005A3C94">
        <w:rPr>
          <w:rFonts w:ascii="Times New Roman" w:eastAsia="Times New Roman" w:hAnsi="Times New Roman" w:cs="Times New Roman"/>
          <w:b/>
          <w:sz w:val="24"/>
          <w:szCs w:val="24"/>
          <w:lang w:eastAsia="en-GB"/>
        </w:rPr>
        <w:t xml:space="preserve">együttműködést </w:t>
      </w:r>
      <w:r w:rsidRPr="005A3C94">
        <w:rPr>
          <w:rFonts w:ascii="Times New Roman" w:eastAsia="Times New Roman" w:hAnsi="Times New Roman" w:cs="Times New Roman"/>
          <w:sz w:val="24"/>
          <w:szCs w:val="24"/>
          <w:lang w:eastAsia="en-GB"/>
        </w:rPr>
        <w:t xml:space="preserve">igényelt, amit a tanulók igen sikeresen valósítottak meg. Az a feladat, hogy keressenek az iskolai játszótér tartozékain geometriai formákat (háromszöget, négyzetet, kört) és szögeket, illetve hogy alkossanak a testrészeik kombinációinak segítségével különféle szögeket azt jelentette, hogy az elvont matematikai fogalmakat a mindennapi életre alkalmazták, s így a matematika </w:t>
      </w:r>
      <w:r w:rsidRPr="005A3C94">
        <w:rPr>
          <w:rFonts w:ascii="Times New Roman" w:eastAsia="Times New Roman" w:hAnsi="Times New Roman" w:cs="Times New Roman"/>
          <w:b/>
          <w:sz w:val="24"/>
          <w:szCs w:val="24"/>
          <w:lang w:eastAsia="en-GB"/>
        </w:rPr>
        <w:t xml:space="preserve">autentikussá </w:t>
      </w:r>
      <w:r w:rsidRPr="005A3C94">
        <w:rPr>
          <w:rFonts w:ascii="Times New Roman" w:eastAsia="Times New Roman" w:hAnsi="Times New Roman" w:cs="Times New Roman"/>
          <w:sz w:val="24"/>
          <w:szCs w:val="24"/>
          <w:lang w:eastAsia="en-GB"/>
        </w:rPr>
        <w:t>vált.</w:t>
      </w:r>
    </w:p>
    <w:p w14:paraId="7FF00253" w14:textId="77777777" w:rsidR="00BB623A" w:rsidRPr="005A3C94" w:rsidRDefault="00BB623A" w:rsidP="00BB623A">
      <w:pPr>
        <w:pStyle w:val="Listaszerbekezds"/>
        <w:spacing w:after="0" w:line="276" w:lineRule="auto"/>
        <w:jc w:val="both"/>
        <w:rPr>
          <w:rFonts w:ascii="Times New Roman" w:eastAsia="Times New Roman" w:hAnsi="Times New Roman" w:cs="Times New Roman"/>
          <w:sz w:val="24"/>
          <w:szCs w:val="24"/>
          <w:lang w:eastAsia="en-GB"/>
        </w:rPr>
      </w:pPr>
    </w:p>
    <w:p w14:paraId="359627F5" w14:textId="77777777" w:rsidR="00BB623A" w:rsidRPr="005A3C94" w:rsidRDefault="00BB623A" w:rsidP="00BB623A">
      <w:pPr>
        <w:pStyle w:val="Listaszerbekezds"/>
        <w:numPr>
          <w:ilvl w:val="0"/>
          <w:numId w:val="23"/>
        </w:numPr>
        <w:spacing w:after="0" w:line="276" w:lineRule="auto"/>
        <w:jc w:val="both"/>
        <w:rPr>
          <w:rFonts w:ascii="Times New Roman" w:eastAsia="Times New Roman" w:hAnsi="Times New Roman" w:cs="Times New Roman"/>
          <w:sz w:val="24"/>
          <w:szCs w:val="24"/>
          <w:lang w:eastAsia="en-GB"/>
        </w:rPr>
      </w:pPr>
      <w:r w:rsidRPr="005A3C94">
        <w:rPr>
          <w:rFonts w:ascii="Times New Roman" w:eastAsia="Times New Roman" w:hAnsi="Times New Roman" w:cs="Times New Roman"/>
          <w:sz w:val="24"/>
          <w:szCs w:val="24"/>
          <w:lang w:eastAsia="en-GB"/>
        </w:rPr>
        <w:t xml:space="preserve">A kiscsoportos – 4-5 fős – feladatok minden tanuló számára lehetővé tették a szereplést, s ők ezt lelkesen meg is ragadták. Így az órai </w:t>
      </w:r>
      <w:r w:rsidRPr="005A3C94">
        <w:rPr>
          <w:rFonts w:ascii="Times New Roman" w:eastAsia="Times New Roman" w:hAnsi="Times New Roman" w:cs="Times New Roman"/>
          <w:b/>
          <w:sz w:val="24"/>
          <w:szCs w:val="24"/>
          <w:lang w:eastAsia="en-GB"/>
        </w:rPr>
        <w:t xml:space="preserve">bevonás </w:t>
      </w:r>
      <w:r w:rsidRPr="005A3C94">
        <w:rPr>
          <w:rFonts w:ascii="Times New Roman" w:eastAsia="Times New Roman" w:hAnsi="Times New Roman" w:cs="Times New Roman"/>
          <w:sz w:val="24"/>
          <w:szCs w:val="24"/>
          <w:lang w:eastAsia="en-GB"/>
        </w:rPr>
        <w:t xml:space="preserve">megvalósult. Azzal, hogy az iskolaépületen kívül is mozogtak, az óra erősen </w:t>
      </w:r>
      <w:r w:rsidRPr="005A3C94">
        <w:rPr>
          <w:rFonts w:ascii="Times New Roman" w:eastAsia="Times New Roman" w:hAnsi="Times New Roman" w:cs="Times New Roman"/>
          <w:b/>
          <w:sz w:val="24"/>
          <w:szCs w:val="24"/>
          <w:lang w:eastAsia="en-GB"/>
        </w:rPr>
        <w:t xml:space="preserve">mobilis </w:t>
      </w:r>
      <w:r w:rsidRPr="005A3C94">
        <w:rPr>
          <w:rFonts w:ascii="Times New Roman" w:eastAsia="Times New Roman" w:hAnsi="Times New Roman" w:cs="Times New Roman"/>
          <w:sz w:val="24"/>
          <w:szCs w:val="24"/>
          <w:lang w:eastAsia="en-GB"/>
        </w:rPr>
        <w:t xml:space="preserve">volt. Bár a gyerekek sok matematikai feladatot oldottak meg: átlagot számoltak, stb., mindezt nem a padban ülve végezték. Az óratervezés lehetővé tette, hogy a gyerekek maguk döntsék el, milyen sorrendben és hogyan oldják meg az egyes feladatokat, majd saját ütemben dolgoztak. Ezáltal a </w:t>
      </w:r>
      <w:r w:rsidRPr="005A3C94">
        <w:rPr>
          <w:rFonts w:ascii="Times New Roman" w:eastAsia="Times New Roman" w:hAnsi="Times New Roman" w:cs="Times New Roman"/>
          <w:b/>
          <w:sz w:val="24"/>
          <w:szCs w:val="24"/>
          <w:lang w:eastAsia="en-GB"/>
        </w:rPr>
        <w:t xml:space="preserve">rugalmasság </w:t>
      </w:r>
      <w:r w:rsidRPr="005A3C94">
        <w:rPr>
          <w:rFonts w:ascii="Times New Roman" w:eastAsia="Times New Roman" w:hAnsi="Times New Roman" w:cs="Times New Roman"/>
          <w:sz w:val="24"/>
          <w:szCs w:val="24"/>
          <w:lang w:eastAsia="en-GB"/>
        </w:rPr>
        <w:t>is megvalósulhatott.</w:t>
      </w:r>
    </w:p>
    <w:p w14:paraId="5C87BAF1" w14:textId="77777777" w:rsidR="00BB623A" w:rsidRPr="005A3C94" w:rsidRDefault="00BB623A" w:rsidP="00BB623A">
      <w:pPr>
        <w:pStyle w:val="Listaszerbekezds"/>
        <w:spacing w:line="276" w:lineRule="auto"/>
        <w:jc w:val="both"/>
        <w:rPr>
          <w:rFonts w:ascii="Times New Roman" w:eastAsia="Times New Roman" w:hAnsi="Times New Roman" w:cs="Times New Roman"/>
          <w:sz w:val="24"/>
          <w:szCs w:val="24"/>
          <w:lang w:eastAsia="en-GB"/>
        </w:rPr>
      </w:pPr>
    </w:p>
    <w:p w14:paraId="7B08E462" w14:textId="5AE49335" w:rsidR="00BB623A" w:rsidRPr="005A3C94" w:rsidRDefault="00BB623A" w:rsidP="00C65226">
      <w:pPr>
        <w:pStyle w:val="Listaszerbekezds"/>
        <w:numPr>
          <w:ilvl w:val="0"/>
          <w:numId w:val="23"/>
        </w:numPr>
        <w:spacing w:after="0" w:line="276" w:lineRule="auto"/>
        <w:jc w:val="both"/>
        <w:rPr>
          <w:rFonts w:ascii="Times New Roman" w:eastAsia="Times New Roman" w:hAnsi="Times New Roman" w:cs="Times New Roman"/>
          <w:sz w:val="24"/>
          <w:szCs w:val="24"/>
          <w:lang w:eastAsia="en-GB"/>
        </w:rPr>
      </w:pPr>
      <w:r w:rsidRPr="005A3C94">
        <w:rPr>
          <w:rFonts w:ascii="Times New Roman" w:eastAsia="Times New Roman" w:hAnsi="Times New Roman" w:cs="Times New Roman"/>
          <w:sz w:val="24"/>
          <w:szCs w:val="24"/>
          <w:lang w:eastAsia="en-GB"/>
        </w:rPr>
        <w:t xml:space="preserve">Igen </w:t>
      </w:r>
      <w:proofErr w:type="spellStart"/>
      <w:r w:rsidRPr="005A3C94">
        <w:rPr>
          <w:rFonts w:ascii="Times New Roman" w:eastAsia="Times New Roman" w:hAnsi="Times New Roman" w:cs="Times New Roman"/>
          <w:sz w:val="24"/>
          <w:szCs w:val="24"/>
          <w:lang w:eastAsia="en-GB"/>
        </w:rPr>
        <w:t>impresszív</w:t>
      </w:r>
      <w:proofErr w:type="spellEnd"/>
      <w:r w:rsidRPr="005A3C94">
        <w:rPr>
          <w:rFonts w:ascii="Times New Roman" w:eastAsia="Times New Roman" w:hAnsi="Times New Roman" w:cs="Times New Roman"/>
          <w:sz w:val="24"/>
          <w:szCs w:val="24"/>
          <w:lang w:eastAsia="en-GB"/>
        </w:rPr>
        <w:t xml:space="preserve"> volt a tanulók magatartása, különösképpen összpontosítási képességük, fegyelmezettségük és rugalmasságuk. Az egyik csapat például megkapta az instrukciókat, majd rövid megbeszélés után nekifogtak a feladatnak. Hamar kiderült azonban, hogy az a megközelítésmód, amiben megállapodtak, nem lesz jó. Ekkor megint összedugták a fejüket, és képesek voltak más irányból nekivágni a feladatnak. Mindössze annyi segítséget kaptak a felnőttől, hogy megkérdezték, szabad-e még egyszer nekilátni – amire meg is kapták az engedélyt.</w:t>
      </w:r>
      <w:r w:rsidR="000355C2" w:rsidRPr="005A3C94">
        <w:rPr>
          <w:rFonts w:ascii="Times New Roman" w:eastAsia="Times New Roman" w:hAnsi="Times New Roman" w:cs="Times New Roman"/>
          <w:sz w:val="24"/>
          <w:szCs w:val="24"/>
          <w:lang w:eastAsia="en-GB"/>
        </w:rPr>
        <w:t xml:space="preserve"> E</w:t>
      </w:r>
      <w:r w:rsidRPr="005A3C94">
        <w:rPr>
          <w:rFonts w:ascii="Times New Roman" w:eastAsia="Times New Roman" w:hAnsi="Times New Roman" w:cs="Times New Roman"/>
          <w:sz w:val="24"/>
          <w:szCs w:val="24"/>
          <w:lang w:eastAsia="en-GB"/>
        </w:rPr>
        <w:t xml:space="preserve">bben az ötödik osztályban a tanulók tanúbizonyságát adták a többlépcsős fejlődésnek: annak, hogy képesek ismereteket elsajátítani, majd segítség nélkül továbblépnek arra a szintre, ahol ezen ismereteket képesek adott kereteken belül rendezni, majd eljutnak odáig, hogy túl sok segítség nélkül, saját gondolkodási folyamataikra támaszkodva saját egyéni kereteket tudnak létrehozni vagy meglévő kereteket átrendezni. Ez magas szintű kognitív képesség, s a gyakorlat tervezése lehetővé tette a gyerekek számára e képesség fejlesztését és demonstrálását. A megfigyelt kontrollóra szerkezete nem nyitott volna teret ahhoz, hogy a gondolkodás ezen aspektusa fejlődjön. </w:t>
      </w:r>
    </w:p>
    <w:p w14:paraId="6FF5BE5B" w14:textId="77777777" w:rsidR="00BB623A" w:rsidRPr="005A3C94" w:rsidRDefault="00BB623A" w:rsidP="00BB623A">
      <w:pPr>
        <w:pStyle w:val="Listaszerbekezds"/>
        <w:spacing w:after="0" w:line="276" w:lineRule="auto"/>
        <w:ind w:left="360"/>
        <w:jc w:val="both"/>
        <w:rPr>
          <w:rFonts w:ascii="Times New Roman" w:eastAsia="Times New Roman" w:hAnsi="Times New Roman" w:cs="Times New Roman"/>
          <w:b/>
          <w:sz w:val="24"/>
          <w:szCs w:val="24"/>
          <w:lang w:eastAsia="en-GB"/>
        </w:rPr>
      </w:pPr>
    </w:p>
    <w:p w14:paraId="41948CF0" w14:textId="77777777" w:rsidR="00BB623A" w:rsidRPr="005A3C94" w:rsidRDefault="00BB623A" w:rsidP="00BB623A">
      <w:pPr>
        <w:pStyle w:val="Listaszerbekezds"/>
        <w:numPr>
          <w:ilvl w:val="0"/>
          <w:numId w:val="26"/>
        </w:numPr>
        <w:spacing w:after="0" w:line="276" w:lineRule="auto"/>
        <w:jc w:val="both"/>
        <w:rPr>
          <w:rFonts w:ascii="Times New Roman" w:eastAsia="Times New Roman" w:hAnsi="Times New Roman" w:cs="Times New Roman"/>
          <w:sz w:val="24"/>
          <w:szCs w:val="24"/>
          <w:lang w:eastAsia="en-GB"/>
        </w:rPr>
      </w:pPr>
      <w:r w:rsidRPr="005A3C94">
        <w:rPr>
          <w:rFonts w:ascii="Times New Roman" w:eastAsia="Times New Roman" w:hAnsi="Times New Roman" w:cs="Times New Roman"/>
          <w:sz w:val="24"/>
          <w:szCs w:val="24"/>
          <w:lang w:eastAsia="en-GB"/>
        </w:rPr>
        <w:t>Az értékelésünk elkészítése során megkérdezett tanárok kivétel nélkül úgy nyilatkoztak, hogy örömmel üdvözölték a sok új ötletet, amelyet a kreatív szakemberek hoztak be az óratervezésbe, és maguk is vagy máris alkalmazzák, vagy a jövőben alkalmazni fogják ezeket.</w:t>
      </w:r>
    </w:p>
    <w:p w14:paraId="7AEFB1F8" w14:textId="77777777" w:rsidR="00BB623A" w:rsidRPr="005A3C94" w:rsidRDefault="00BB623A" w:rsidP="00BB623A">
      <w:pPr>
        <w:spacing w:after="0" w:line="276" w:lineRule="auto"/>
        <w:jc w:val="both"/>
        <w:rPr>
          <w:rFonts w:ascii="Times New Roman" w:eastAsia="Times New Roman" w:hAnsi="Times New Roman" w:cs="Times New Roman"/>
          <w:sz w:val="24"/>
          <w:szCs w:val="24"/>
          <w:lang w:eastAsia="en-GB"/>
        </w:rPr>
      </w:pPr>
    </w:p>
    <w:p w14:paraId="588B6EAE" w14:textId="2B95AA10" w:rsidR="00BB623A" w:rsidRPr="005A3C94" w:rsidRDefault="000355C2" w:rsidP="00BB623A">
      <w:pPr>
        <w:pStyle w:val="Listaszerbekezds"/>
        <w:numPr>
          <w:ilvl w:val="0"/>
          <w:numId w:val="24"/>
        </w:numPr>
        <w:spacing w:after="0" w:line="276" w:lineRule="auto"/>
        <w:jc w:val="both"/>
        <w:rPr>
          <w:rFonts w:ascii="Times New Roman" w:eastAsia="Times New Roman" w:hAnsi="Times New Roman" w:cs="Times New Roman"/>
          <w:b/>
          <w:sz w:val="24"/>
          <w:szCs w:val="24"/>
          <w:lang w:eastAsia="en-GB"/>
        </w:rPr>
      </w:pPr>
      <w:r w:rsidRPr="005A3C94">
        <w:rPr>
          <w:rFonts w:ascii="Times New Roman" w:eastAsia="Times New Roman" w:hAnsi="Times New Roman" w:cs="Times New Roman"/>
          <w:sz w:val="24"/>
          <w:szCs w:val="24"/>
          <w:lang w:eastAsia="en-GB"/>
        </w:rPr>
        <w:t>Az egyik tagiskola vezetője e</w:t>
      </w:r>
      <w:r w:rsidR="00BB623A" w:rsidRPr="005A3C94">
        <w:rPr>
          <w:rFonts w:ascii="Times New Roman" w:eastAsia="Times New Roman" w:hAnsi="Times New Roman" w:cs="Times New Roman"/>
          <w:sz w:val="24"/>
          <w:szCs w:val="24"/>
          <w:lang w:eastAsia="en-GB"/>
        </w:rPr>
        <w:t>lmondta, hogy az egyik órán a kreatív szakembertől ellesett ötletet máris alkalmazza a saját óráin. Ennél a gyakorlatnál körben állnak a gyerekek, mindegyikük választ egy számot. A kör közepén kartonkártyák vannak a földön, mindegyiken egy-egy szám. A gyerekeknek úgy kell csoportokba rendeződniük, hogy a csoport tagjai által választott számok összege megegyezzen valamelyik számkártyán lévő számmal.</w:t>
      </w:r>
    </w:p>
    <w:p w14:paraId="7821DF27" w14:textId="77777777" w:rsidR="00BB623A" w:rsidRPr="005A3C94" w:rsidRDefault="00BB623A" w:rsidP="00BB623A">
      <w:pPr>
        <w:pStyle w:val="Listaszerbekezds"/>
        <w:spacing w:after="0" w:line="276" w:lineRule="auto"/>
        <w:jc w:val="both"/>
        <w:rPr>
          <w:rFonts w:ascii="Times New Roman" w:eastAsia="Times New Roman" w:hAnsi="Times New Roman" w:cs="Times New Roman"/>
          <w:b/>
          <w:sz w:val="24"/>
          <w:szCs w:val="24"/>
          <w:lang w:eastAsia="en-GB"/>
        </w:rPr>
      </w:pPr>
    </w:p>
    <w:p w14:paraId="467AC21F" w14:textId="3B3FECB1" w:rsidR="00BB623A" w:rsidRPr="005A3C94" w:rsidRDefault="000355C2" w:rsidP="00BB623A">
      <w:pPr>
        <w:pStyle w:val="Listaszerbekezds"/>
        <w:numPr>
          <w:ilvl w:val="0"/>
          <w:numId w:val="24"/>
        </w:numPr>
        <w:spacing w:after="0" w:line="276" w:lineRule="auto"/>
        <w:jc w:val="both"/>
        <w:rPr>
          <w:rFonts w:ascii="Times New Roman" w:eastAsia="Times New Roman" w:hAnsi="Times New Roman" w:cs="Times New Roman"/>
          <w:sz w:val="24"/>
          <w:szCs w:val="24"/>
          <w:lang w:eastAsia="en-GB"/>
        </w:rPr>
      </w:pPr>
      <w:r w:rsidRPr="005A3C94">
        <w:rPr>
          <w:rFonts w:ascii="Times New Roman" w:eastAsia="Times New Roman" w:hAnsi="Times New Roman" w:cs="Times New Roman"/>
          <w:sz w:val="24"/>
          <w:szCs w:val="24"/>
          <w:lang w:eastAsia="en-GB"/>
        </w:rPr>
        <w:t>Az egyik</w:t>
      </w:r>
      <w:r w:rsidR="00BB623A" w:rsidRPr="005A3C94">
        <w:rPr>
          <w:rFonts w:ascii="Times New Roman" w:eastAsia="Times New Roman" w:hAnsi="Times New Roman" w:cs="Times New Roman"/>
          <w:sz w:val="24"/>
          <w:szCs w:val="24"/>
          <w:lang w:eastAsia="en-GB"/>
        </w:rPr>
        <w:t xml:space="preserve"> iskola matematikatanára arról számolt be, hogy különösen megtetszett neki a kreatív szakember által bevezetett egyik gyakorlat, és azt a jövőben ő is alkalmazni fogja. Elmondta, hogy bár úgy gondolta, a saját nézőpontja a matematikatanítást illetően nagyon „logikus”, mégis megdöbbentette, hogy a kreatív szakemberek szokatlan megközelítésmódjának köszönhetően mennyivel gyorsabban sajátítottak el a gyerekek egyes fogalmakat.</w:t>
      </w:r>
    </w:p>
    <w:p w14:paraId="6E75E8EA" w14:textId="77777777" w:rsidR="00BB623A" w:rsidRPr="005A3C94" w:rsidRDefault="00BB623A" w:rsidP="00BB623A">
      <w:pPr>
        <w:pStyle w:val="Listaszerbekezds"/>
        <w:spacing w:line="276" w:lineRule="auto"/>
        <w:jc w:val="both"/>
        <w:rPr>
          <w:rFonts w:ascii="Times New Roman" w:eastAsia="Times New Roman" w:hAnsi="Times New Roman" w:cs="Times New Roman"/>
          <w:sz w:val="24"/>
          <w:szCs w:val="24"/>
          <w:lang w:eastAsia="en-GB"/>
        </w:rPr>
      </w:pPr>
    </w:p>
    <w:p w14:paraId="3C75480D" w14:textId="1AD8A515" w:rsidR="00BB623A" w:rsidRPr="005A3C94" w:rsidRDefault="000355C2" w:rsidP="00BB623A">
      <w:pPr>
        <w:pStyle w:val="Listaszerbekezds"/>
        <w:numPr>
          <w:ilvl w:val="0"/>
          <w:numId w:val="24"/>
        </w:numPr>
        <w:spacing w:after="0" w:line="276" w:lineRule="auto"/>
        <w:jc w:val="both"/>
        <w:rPr>
          <w:rFonts w:ascii="Times New Roman" w:eastAsia="Times New Roman" w:hAnsi="Times New Roman" w:cs="Times New Roman"/>
          <w:sz w:val="24"/>
          <w:szCs w:val="24"/>
          <w:lang w:eastAsia="en-GB"/>
        </w:rPr>
      </w:pPr>
      <w:r w:rsidRPr="005A3C94">
        <w:rPr>
          <w:rFonts w:ascii="Times New Roman" w:eastAsia="Times New Roman" w:hAnsi="Times New Roman" w:cs="Times New Roman"/>
          <w:sz w:val="24"/>
          <w:szCs w:val="24"/>
          <w:lang w:eastAsia="en-GB"/>
        </w:rPr>
        <w:t>A másik</w:t>
      </w:r>
      <w:r w:rsidR="00BB623A" w:rsidRPr="005A3C94">
        <w:rPr>
          <w:rFonts w:ascii="Times New Roman" w:eastAsia="Times New Roman" w:hAnsi="Times New Roman" w:cs="Times New Roman"/>
          <w:sz w:val="24"/>
          <w:szCs w:val="24"/>
          <w:lang w:eastAsia="en-GB"/>
        </w:rPr>
        <w:t xml:space="preserve"> iskolában a tanár elmesélte, hogy az egyik órát, amit a kreatív szakemberekkel közösen terveztek el kellett halasztani, mert ki kellett volna menni az iskolaépületből, de az időjárás ezt nem tette lehetővé. A következő héten a kreatív szakemberek nem tudtak eljönni, ezért a tanár úgy döntött, hogy egyedül próbálja ki a közösen tervezett órát. A gyakorlat abból állt, hogy a gyerekeknek párokban kellett megtalálniuk az iskolában és az udvaron előre elrejtett 15 borítékot. Mindegyik borítékban egy-egy matematikai feladat volt, amelyet meg kellett oldani. A tanár elmondása szerint az egész tevékenység remekül zajlott le. Nem minden páros tudta mind a 15 példát megoldani, de mindannyian a feladatra összpontosítottak, az óra végéig mindenki azzal foglalkozott, amivel kellett. Ahogy a tanár megjegyezte: „Én csak ültem a padon és figyeltem, ahogy mind dolgoznak.” Azt mondta, ez jelentős önbizalmat adott neki, a jövőben saját maga is fog ehhez hasonlóan kreatív feladatokat tervezni és megvalósítani.</w:t>
      </w:r>
    </w:p>
    <w:p w14:paraId="7A59FC0D" w14:textId="77777777" w:rsidR="00BB623A" w:rsidRPr="005A3C94" w:rsidRDefault="00BB623A" w:rsidP="00BB623A">
      <w:pPr>
        <w:spacing w:after="0" w:line="276" w:lineRule="auto"/>
        <w:jc w:val="both"/>
        <w:rPr>
          <w:rFonts w:ascii="Times New Roman" w:eastAsia="Times New Roman" w:hAnsi="Times New Roman" w:cs="Times New Roman"/>
          <w:sz w:val="24"/>
          <w:szCs w:val="24"/>
          <w:lang w:eastAsia="en-GB"/>
        </w:rPr>
      </w:pPr>
    </w:p>
    <w:p w14:paraId="4AA7E15E" w14:textId="4F56C8C2" w:rsidR="00BB623A" w:rsidRPr="005A3C94" w:rsidRDefault="00BB623A" w:rsidP="000355C2">
      <w:pPr>
        <w:pStyle w:val="Listaszerbekezds"/>
        <w:numPr>
          <w:ilvl w:val="0"/>
          <w:numId w:val="26"/>
        </w:numPr>
        <w:spacing w:after="0" w:line="276" w:lineRule="auto"/>
        <w:jc w:val="both"/>
        <w:rPr>
          <w:rFonts w:ascii="Times New Roman" w:eastAsia="Times New Roman" w:hAnsi="Times New Roman" w:cs="Times New Roman"/>
          <w:sz w:val="24"/>
          <w:szCs w:val="24"/>
          <w:lang w:eastAsia="en-GB"/>
        </w:rPr>
      </w:pPr>
      <w:r w:rsidRPr="005A3C94">
        <w:rPr>
          <w:rFonts w:ascii="Times New Roman" w:eastAsia="Times New Roman" w:hAnsi="Times New Roman" w:cs="Times New Roman"/>
          <w:sz w:val="24"/>
          <w:szCs w:val="24"/>
          <w:lang w:eastAsia="en-GB"/>
        </w:rPr>
        <w:t>Valamennyi tanár, iskolavezető és kreatív szakember arról számolt be, hogy javult a tanulók magatartása</w:t>
      </w:r>
      <w:r w:rsidR="000355C2" w:rsidRPr="005A3C94">
        <w:rPr>
          <w:rFonts w:ascii="Times New Roman" w:eastAsia="Times New Roman" w:hAnsi="Times New Roman" w:cs="Times New Roman"/>
          <w:sz w:val="24"/>
          <w:szCs w:val="24"/>
          <w:lang w:eastAsia="en-GB"/>
        </w:rPr>
        <w:t xml:space="preserve">, a tanárokat meglepte, hogy </w:t>
      </w:r>
      <w:r w:rsidRPr="005A3C94">
        <w:rPr>
          <w:rFonts w:ascii="Times New Roman" w:eastAsia="Times New Roman" w:hAnsi="Times New Roman" w:cs="Times New Roman"/>
          <w:sz w:val="24"/>
          <w:szCs w:val="24"/>
          <w:lang w:eastAsia="en-GB"/>
        </w:rPr>
        <w:t>a tanulók a 90 perces foglalkozáson végig milyen fegyelmezettek és fókuszáltak tudtak maradni annak ellenére, hogy milyen sokat mozogtak és mennyire önállóan dolgoztak.</w:t>
      </w:r>
    </w:p>
    <w:p w14:paraId="257DA87F" w14:textId="77777777" w:rsidR="00BB623A" w:rsidRPr="005A3C94" w:rsidRDefault="00BB623A" w:rsidP="00BB623A">
      <w:pPr>
        <w:pStyle w:val="Listaszerbekezds"/>
        <w:spacing w:after="0" w:line="276" w:lineRule="auto"/>
        <w:ind w:left="1080"/>
        <w:jc w:val="both"/>
        <w:rPr>
          <w:rFonts w:ascii="Times New Roman" w:eastAsia="Times New Roman" w:hAnsi="Times New Roman" w:cs="Times New Roman"/>
          <w:sz w:val="24"/>
          <w:szCs w:val="24"/>
          <w:lang w:eastAsia="en-GB"/>
        </w:rPr>
      </w:pPr>
    </w:p>
    <w:p w14:paraId="41C6E553" w14:textId="77777777" w:rsidR="007D3858" w:rsidRPr="005A3C94" w:rsidRDefault="007D3858">
      <w:pPr>
        <w:rPr>
          <w:rFonts w:asciiTheme="majorHAnsi" w:eastAsiaTheme="majorEastAsia" w:hAnsiTheme="majorHAnsi" w:cstheme="majorBidi"/>
          <w:color w:val="2E74B5" w:themeColor="accent1" w:themeShade="BF"/>
          <w:sz w:val="26"/>
          <w:szCs w:val="26"/>
        </w:rPr>
      </w:pPr>
      <w:r w:rsidRPr="005A3C94">
        <w:br w:type="page"/>
      </w:r>
    </w:p>
    <w:p w14:paraId="0ABBC8F6" w14:textId="19099EF2" w:rsidR="00031A4F" w:rsidRPr="005A3C94" w:rsidRDefault="00B57649" w:rsidP="00B57649">
      <w:pPr>
        <w:pStyle w:val="Cmsor2"/>
        <w:spacing w:line="360" w:lineRule="auto"/>
      </w:pPr>
      <w:bookmarkStart w:id="7" w:name="_Toc437242817"/>
      <w:r w:rsidRPr="005A3C94">
        <w:t>A</w:t>
      </w:r>
      <w:r w:rsidR="008C67DC" w:rsidRPr="005A3C94">
        <w:t xml:space="preserve"> matematika pilot-program </w:t>
      </w:r>
      <w:r w:rsidR="00BB623A" w:rsidRPr="005A3C94">
        <w:t xml:space="preserve">kvantitatív </w:t>
      </w:r>
      <w:r w:rsidR="008C67DC" w:rsidRPr="005A3C94">
        <w:t>értékelésének módszere és eszközei</w:t>
      </w:r>
      <w:bookmarkEnd w:id="7"/>
    </w:p>
    <w:p w14:paraId="50B74C84" w14:textId="3136520A" w:rsidR="00B57649" w:rsidRPr="005A3C94" w:rsidRDefault="00B57649" w:rsidP="00B57649">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 kvantitatív vizsgálat arra irányult, hogy megmérjük, milyen hatása volt a Kreatív Partnerség pilot program második szakaszának a </w:t>
      </w:r>
      <w:r w:rsidR="006A6674" w:rsidRPr="005A3C94">
        <w:rPr>
          <w:rFonts w:ascii="Times New Roman" w:hAnsi="Times New Roman" w:cs="Times New Roman"/>
          <w:sz w:val="24"/>
          <w:szCs w:val="24"/>
        </w:rPr>
        <w:t xml:space="preserve">résztvevő </w:t>
      </w:r>
      <w:r w:rsidRPr="005A3C94">
        <w:rPr>
          <w:rFonts w:ascii="Times New Roman" w:hAnsi="Times New Roman" w:cs="Times New Roman"/>
          <w:sz w:val="24"/>
          <w:szCs w:val="24"/>
        </w:rPr>
        <w:t xml:space="preserve">diákok </w:t>
      </w:r>
      <w:r w:rsidR="006A6674" w:rsidRPr="005A3C94">
        <w:rPr>
          <w:rFonts w:ascii="Times New Roman" w:hAnsi="Times New Roman" w:cs="Times New Roman"/>
          <w:sz w:val="24"/>
          <w:szCs w:val="24"/>
        </w:rPr>
        <w:t xml:space="preserve">egyes </w:t>
      </w:r>
      <w:r w:rsidRPr="005A3C94">
        <w:rPr>
          <w:rFonts w:ascii="Times New Roman" w:hAnsi="Times New Roman" w:cs="Times New Roman"/>
          <w:sz w:val="24"/>
          <w:szCs w:val="24"/>
        </w:rPr>
        <w:t>kompetenc</w:t>
      </w:r>
      <w:r w:rsidR="006A6674" w:rsidRPr="005A3C94">
        <w:rPr>
          <w:rFonts w:ascii="Times New Roman" w:hAnsi="Times New Roman" w:cs="Times New Roman"/>
          <w:sz w:val="24"/>
          <w:szCs w:val="24"/>
        </w:rPr>
        <w:t>iaterületeire</w:t>
      </w:r>
      <w:r w:rsidR="003C2654">
        <w:rPr>
          <w:rFonts w:ascii="Times New Roman" w:hAnsi="Times New Roman" w:cs="Times New Roman"/>
          <w:sz w:val="24"/>
          <w:szCs w:val="24"/>
        </w:rPr>
        <w:t>, olvasási kiépültségére</w:t>
      </w:r>
      <w:r w:rsidRPr="005A3C94">
        <w:rPr>
          <w:rFonts w:ascii="Times New Roman" w:hAnsi="Times New Roman" w:cs="Times New Roman"/>
          <w:sz w:val="24"/>
          <w:szCs w:val="24"/>
        </w:rPr>
        <w:t xml:space="preserve"> é</w:t>
      </w:r>
      <w:r w:rsidR="006A6674" w:rsidRPr="005A3C94">
        <w:rPr>
          <w:rFonts w:ascii="Times New Roman" w:hAnsi="Times New Roman" w:cs="Times New Roman"/>
          <w:sz w:val="24"/>
          <w:szCs w:val="24"/>
        </w:rPr>
        <w:t>s matematikai tudására</w:t>
      </w:r>
      <w:r w:rsidRPr="005A3C94">
        <w:rPr>
          <w:rFonts w:ascii="Times New Roman" w:hAnsi="Times New Roman" w:cs="Times New Roman"/>
          <w:sz w:val="24"/>
          <w:szCs w:val="24"/>
        </w:rPr>
        <w:t>. A vizsgálatok a következő területekre irányultak:</w:t>
      </w:r>
    </w:p>
    <w:p w14:paraId="736A9B85" w14:textId="6A8A9EC1" w:rsidR="00B57649" w:rsidRPr="005A3C94" w:rsidRDefault="00B57649" w:rsidP="00B57649">
      <w:pPr>
        <w:numPr>
          <w:ilvl w:val="0"/>
          <w:numId w:val="26"/>
        </w:numPr>
        <w:spacing w:before="240" w:after="0" w:line="276" w:lineRule="auto"/>
        <w:contextualSpacing/>
        <w:jc w:val="both"/>
        <w:rPr>
          <w:rFonts w:ascii="Times New Roman" w:eastAsia="Times New Roman" w:hAnsi="Times New Roman" w:cs="Times New Roman"/>
          <w:sz w:val="24"/>
          <w:szCs w:val="24"/>
          <w:lang w:eastAsia="hu-HU"/>
        </w:rPr>
      </w:pPr>
      <w:r w:rsidRPr="005A3C94">
        <w:rPr>
          <w:rFonts w:ascii="Times New Roman" w:eastAsia="Times New Roman" w:hAnsi="Times New Roman" w:cs="Times New Roman"/>
          <w:sz w:val="24"/>
          <w:szCs w:val="24"/>
          <w:lang w:eastAsia="hu-HU"/>
        </w:rPr>
        <w:t>énkép</w:t>
      </w:r>
    </w:p>
    <w:p w14:paraId="4E776C8D" w14:textId="1C947063" w:rsidR="00B57649" w:rsidRPr="005A3C94" w:rsidRDefault="00B57649" w:rsidP="00B57649">
      <w:pPr>
        <w:numPr>
          <w:ilvl w:val="0"/>
          <w:numId w:val="26"/>
        </w:numPr>
        <w:spacing w:before="240" w:after="0" w:line="276" w:lineRule="auto"/>
        <w:contextualSpacing/>
        <w:jc w:val="both"/>
        <w:rPr>
          <w:rFonts w:ascii="Times New Roman" w:eastAsia="Times New Roman" w:hAnsi="Times New Roman" w:cs="Times New Roman"/>
          <w:sz w:val="24"/>
          <w:szCs w:val="24"/>
          <w:lang w:eastAsia="hu-HU"/>
        </w:rPr>
      </w:pPr>
      <w:r w:rsidRPr="005A3C94">
        <w:rPr>
          <w:rFonts w:ascii="Times New Roman" w:eastAsia="Times New Roman" w:hAnsi="Times New Roman" w:cs="Times New Roman"/>
          <w:sz w:val="24"/>
          <w:szCs w:val="24"/>
          <w:lang w:eastAsia="hu-HU"/>
        </w:rPr>
        <w:t>szociális képességek</w:t>
      </w:r>
    </w:p>
    <w:p w14:paraId="5F3C180F" w14:textId="28EEAC4E" w:rsidR="00B57649" w:rsidRPr="005A3C94" w:rsidRDefault="00B57649" w:rsidP="00B57649">
      <w:pPr>
        <w:numPr>
          <w:ilvl w:val="0"/>
          <w:numId w:val="26"/>
        </w:numPr>
        <w:spacing w:before="240" w:after="0" w:line="276" w:lineRule="auto"/>
        <w:contextualSpacing/>
        <w:jc w:val="both"/>
        <w:rPr>
          <w:rFonts w:ascii="Times New Roman" w:eastAsia="Times New Roman" w:hAnsi="Times New Roman" w:cs="Times New Roman"/>
          <w:sz w:val="24"/>
          <w:szCs w:val="24"/>
          <w:lang w:eastAsia="hu-HU"/>
        </w:rPr>
      </w:pPr>
      <w:r w:rsidRPr="005A3C94">
        <w:rPr>
          <w:rFonts w:ascii="Times New Roman" w:eastAsia="Times New Roman" w:hAnsi="Times New Roman" w:cs="Times New Roman"/>
          <w:sz w:val="24"/>
          <w:szCs w:val="24"/>
          <w:lang w:eastAsia="hu-HU"/>
        </w:rPr>
        <w:t>empátia</w:t>
      </w:r>
    </w:p>
    <w:p w14:paraId="4200735C" w14:textId="77777777" w:rsidR="00B57649" w:rsidRPr="005A3C94" w:rsidRDefault="00B57649" w:rsidP="00B57649">
      <w:pPr>
        <w:numPr>
          <w:ilvl w:val="0"/>
          <w:numId w:val="26"/>
        </w:numPr>
        <w:spacing w:before="240" w:after="0" w:line="276" w:lineRule="auto"/>
        <w:contextualSpacing/>
        <w:jc w:val="both"/>
        <w:rPr>
          <w:rFonts w:ascii="Times New Roman" w:eastAsia="Times New Roman" w:hAnsi="Times New Roman" w:cs="Times New Roman"/>
          <w:sz w:val="24"/>
          <w:szCs w:val="24"/>
          <w:lang w:eastAsia="hu-HU"/>
        </w:rPr>
      </w:pPr>
      <w:r w:rsidRPr="005A3C94">
        <w:rPr>
          <w:rFonts w:ascii="Times New Roman" w:eastAsia="Times New Roman" w:hAnsi="Times New Roman" w:cs="Times New Roman"/>
          <w:sz w:val="24"/>
          <w:szCs w:val="24"/>
          <w:lang w:eastAsia="hu-HU"/>
        </w:rPr>
        <w:t>tanulási motiváció</w:t>
      </w:r>
    </w:p>
    <w:p w14:paraId="05A85039" w14:textId="1505AE9B" w:rsidR="00B57649" w:rsidRPr="005A3C94" w:rsidRDefault="00B57649" w:rsidP="00B57649">
      <w:pPr>
        <w:numPr>
          <w:ilvl w:val="0"/>
          <w:numId w:val="26"/>
        </w:numPr>
        <w:spacing w:before="240" w:after="0" w:line="276" w:lineRule="auto"/>
        <w:contextualSpacing/>
        <w:jc w:val="both"/>
        <w:rPr>
          <w:rFonts w:ascii="Times New Roman" w:eastAsia="Times New Roman" w:hAnsi="Times New Roman" w:cs="Times New Roman"/>
          <w:sz w:val="24"/>
          <w:szCs w:val="24"/>
          <w:lang w:eastAsia="hu-HU"/>
        </w:rPr>
      </w:pPr>
      <w:r w:rsidRPr="005A3C94">
        <w:rPr>
          <w:rFonts w:ascii="Times New Roman" w:eastAsia="Times New Roman" w:hAnsi="Times New Roman" w:cs="Times New Roman"/>
          <w:sz w:val="24"/>
          <w:szCs w:val="24"/>
          <w:lang w:eastAsia="hu-HU"/>
        </w:rPr>
        <w:t>olvasási kié</w:t>
      </w:r>
      <w:r w:rsidR="006A6674" w:rsidRPr="005A3C94">
        <w:rPr>
          <w:rFonts w:ascii="Times New Roman" w:eastAsia="Times New Roman" w:hAnsi="Times New Roman" w:cs="Times New Roman"/>
          <w:sz w:val="24"/>
          <w:szCs w:val="24"/>
          <w:lang w:eastAsia="hu-HU"/>
        </w:rPr>
        <w:t>pültség</w:t>
      </w:r>
    </w:p>
    <w:p w14:paraId="0587147E" w14:textId="195826E5" w:rsidR="00B57649" w:rsidRPr="005A3C94" w:rsidRDefault="006A6674" w:rsidP="006A6674">
      <w:pPr>
        <w:numPr>
          <w:ilvl w:val="0"/>
          <w:numId w:val="26"/>
        </w:numPr>
        <w:spacing w:before="240" w:after="0" w:line="276" w:lineRule="auto"/>
        <w:contextualSpacing/>
        <w:jc w:val="both"/>
        <w:rPr>
          <w:rFonts w:ascii="Times New Roman" w:eastAsia="Times New Roman" w:hAnsi="Times New Roman" w:cs="Times New Roman"/>
          <w:sz w:val="24"/>
          <w:szCs w:val="24"/>
          <w:lang w:eastAsia="hu-HU"/>
        </w:rPr>
      </w:pPr>
      <w:r w:rsidRPr="005A3C94">
        <w:rPr>
          <w:rFonts w:ascii="Times New Roman" w:eastAsia="Times New Roman" w:hAnsi="Times New Roman" w:cs="Times New Roman"/>
          <w:sz w:val="24"/>
          <w:szCs w:val="24"/>
          <w:lang w:eastAsia="hu-HU"/>
        </w:rPr>
        <w:t xml:space="preserve">bizonyos matematikai fogalmak, </w:t>
      </w:r>
      <w:r w:rsidR="00481855">
        <w:rPr>
          <w:rFonts w:ascii="Times New Roman" w:eastAsia="Times New Roman" w:hAnsi="Times New Roman" w:cs="Times New Roman"/>
          <w:sz w:val="24"/>
          <w:szCs w:val="24"/>
          <w:lang w:eastAsia="hu-HU"/>
        </w:rPr>
        <w:t>területek</w:t>
      </w:r>
      <w:r w:rsidRPr="005A3C94">
        <w:rPr>
          <w:rFonts w:ascii="Times New Roman" w:eastAsia="Times New Roman" w:hAnsi="Times New Roman" w:cs="Times New Roman"/>
          <w:sz w:val="24"/>
          <w:szCs w:val="24"/>
          <w:lang w:eastAsia="hu-HU"/>
        </w:rPr>
        <w:t xml:space="preserve"> elsajátítása</w:t>
      </w:r>
    </w:p>
    <w:p w14:paraId="50BCFE4F" w14:textId="7C9C0C0C" w:rsidR="00B57649" w:rsidRPr="005A3C94" w:rsidRDefault="00B57649" w:rsidP="002E60E7">
      <w:pPr>
        <w:spacing w:before="240" w:line="276" w:lineRule="auto"/>
        <w:jc w:val="both"/>
        <w:rPr>
          <w:rFonts w:ascii="Times New Roman" w:hAnsi="Times New Roman" w:cs="Times New Roman"/>
          <w:sz w:val="24"/>
          <w:szCs w:val="24"/>
        </w:rPr>
      </w:pPr>
      <w:r w:rsidRPr="005A3C94">
        <w:rPr>
          <w:rFonts w:ascii="Times New Roman" w:hAnsi="Times New Roman" w:cs="Times New Roman"/>
          <w:sz w:val="24"/>
          <w:szCs w:val="24"/>
        </w:rPr>
        <w:t>Az elemzés során a pécsi Budai-városkapu Általános Iskola, Szakiskola, Speciális Szakiskola és Alapfokú Művészeti Iskola hét tagintézményének öt osztályából 88</w:t>
      </w:r>
      <w:r w:rsidR="003C2654">
        <w:rPr>
          <w:rFonts w:ascii="Times New Roman" w:hAnsi="Times New Roman" w:cs="Times New Roman"/>
          <w:sz w:val="24"/>
          <w:szCs w:val="24"/>
        </w:rPr>
        <w:t xml:space="preserve"> ötödik osztályos tanuló</w:t>
      </w:r>
      <w:r w:rsidRPr="005A3C94">
        <w:rPr>
          <w:rFonts w:ascii="Times New Roman" w:hAnsi="Times New Roman" w:cs="Times New Roman"/>
          <w:sz w:val="24"/>
          <w:szCs w:val="24"/>
        </w:rPr>
        <w:t xml:space="preserve"> eredményeit ismertetjük. </w:t>
      </w:r>
    </w:p>
    <w:p w14:paraId="09872F16" w14:textId="463807F5" w:rsidR="003C2654" w:rsidRDefault="00B57649" w:rsidP="00B57649">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 mérés a 2014-2015-ös tanév második félévében zajlott, három hónapon keresztül, márciustól májusig. </w:t>
      </w:r>
      <w:r w:rsidR="006A6674" w:rsidRPr="005A3C94">
        <w:rPr>
          <w:rFonts w:ascii="Times New Roman" w:hAnsi="Times New Roman" w:cs="Times New Roman"/>
          <w:sz w:val="24"/>
          <w:szCs w:val="24"/>
        </w:rPr>
        <w:t xml:space="preserve">A program első, 2013-as szakaszával ellentétben, amikor </w:t>
      </w:r>
      <w:r w:rsidR="00FE43A1">
        <w:rPr>
          <w:rFonts w:ascii="Times New Roman" w:hAnsi="Times New Roman" w:cs="Times New Roman"/>
          <w:sz w:val="24"/>
          <w:szCs w:val="24"/>
        </w:rPr>
        <w:t xml:space="preserve">a </w:t>
      </w:r>
      <w:proofErr w:type="spellStart"/>
      <w:r w:rsidR="00FE43A1">
        <w:rPr>
          <w:rFonts w:ascii="Times New Roman" w:hAnsi="Times New Roman" w:cs="Times New Roman"/>
          <w:sz w:val="24"/>
          <w:szCs w:val="24"/>
        </w:rPr>
        <w:t>T-Tudok</w:t>
      </w:r>
      <w:proofErr w:type="spellEnd"/>
      <w:r w:rsidR="00FE43A1">
        <w:rPr>
          <w:rFonts w:ascii="Times New Roman" w:hAnsi="Times New Roman" w:cs="Times New Roman"/>
          <w:sz w:val="24"/>
          <w:szCs w:val="24"/>
        </w:rPr>
        <w:t xml:space="preserve"> </w:t>
      </w:r>
      <w:proofErr w:type="spellStart"/>
      <w:r w:rsidR="00FE43A1">
        <w:rPr>
          <w:rFonts w:ascii="Times New Roman" w:hAnsi="Times New Roman" w:cs="Times New Roman"/>
          <w:sz w:val="24"/>
          <w:szCs w:val="24"/>
        </w:rPr>
        <w:t>Zrt</w:t>
      </w:r>
      <w:proofErr w:type="spellEnd"/>
      <w:r w:rsidR="00FE43A1">
        <w:rPr>
          <w:rFonts w:ascii="Times New Roman" w:hAnsi="Times New Roman" w:cs="Times New Roman"/>
          <w:sz w:val="24"/>
          <w:szCs w:val="24"/>
        </w:rPr>
        <w:t>. csak a lezáráskor vett</w:t>
      </w:r>
      <w:r w:rsidR="006A6674" w:rsidRPr="005A3C94">
        <w:rPr>
          <w:rFonts w:ascii="Times New Roman" w:hAnsi="Times New Roman" w:cs="Times New Roman"/>
          <w:sz w:val="24"/>
          <w:szCs w:val="24"/>
        </w:rPr>
        <w:t xml:space="preserve"> fel kérdőívet a résztvevőkkel, az új program-dizájn szerint a</w:t>
      </w:r>
      <w:r w:rsidRPr="005A3C94">
        <w:rPr>
          <w:rFonts w:ascii="Times New Roman" w:hAnsi="Times New Roman" w:cs="Times New Roman"/>
          <w:sz w:val="24"/>
          <w:szCs w:val="24"/>
        </w:rPr>
        <w:t xml:space="preserve"> diákok részt vettek egy bemeneti mérésen a program kezdetekor, és egy kimeneti mérésen a végekor, e két időpillanat között </w:t>
      </w:r>
      <w:r w:rsidR="00FE43A1">
        <w:rPr>
          <w:rFonts w:ascii="Times New Roman" w:hAnsi="Times New Roman" w:cs="Times New Roman"/>
          <w:sz w:val="24"/>
          <w:szCs w:val="24"/>
        </w:rPr>
        <w:t>mérhető a változás</w:t>
      </w:r>
      <w:r w:rsidRPr="005A3C94">
        <w:rPr>
          <w:rFonts w:ascii="Times New Roman" w:hAnsi="Times New Roman" w:cs="Times New Roman"/>
          <w:sz w:val="24"/>
          <w:szCs w:val="24"/>
        </w:rPr>
        <w:t xml:space="preserve">. </w:t>
      </w:r>
    </w:p>
    <w:p w14:paraId="003F533D" w14:textId="3448EF5E" w:rsidR="00B57649" w:rsidRPr="005A3C94" w:rsidRDefault="00FE43A1" w:rsidP="00B576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Ahhoz, hogy vizsgálni </w:t>
      </w:r>
      <w:r w:rsidR="00B57649" w:rsidRPr="005A3C94">
        <w:rPr>
          <w:rFonts w:ascii="Times New Roman" w:hAnsi="Times New Roman" w:cs="Times New Roman"/>
          <w:sz w:val="24"/>
          <w:szCs w:val="24"/>
        </w:rPr>
        <w:t>tudjuk a Kreatív Partnerség pilot programjának hatását, a kísérletben részt vevő diákok mellé kijelöltünk kontroll-társakat, azaz egy olyan tanulói csoportot, akik hasonló háttérrel és képességekkel rendelkeznek, de a program nem érinti őket. Azért fontos hozzájuk m</w:t>
      </w:r>
      <w:r w:rsidR="003C2654">
        <w:rPr>
          <w:rFonts w:ascii="Times New Roman" w:hAnsi="Times New Roman" w:cs="Times New Roman"/>
          <w:sz w:val="24"/>
          <w:szCs w:val="24"/>
        </w:rPr>
        <w:t>érni a kísérletben részt vevő (kezelt</w:t>
      </w:r>
      <w:r w:rsidR="00B57649" w:rsidRPr="005A3C94">
        <w:rPr>
          <w:rFonts w:ascii="Times New Roman" w:hAnsi="Times New Roman" w:cs="Times New Roman"/>
          <w:sz w:val="24"/>
          <w:szCs w:val="24"/>
        </w:rPr>
        <w:t xml:space="preserve">) diákok fejlődését, mert ebben az életkorban természetes, hogy mind a diákok szociális képességei, mind tanulási attitűdje, mind tanulmányi eredményei változnak. Így, ha csak a kísérleti csoportot vizsgálnánk, nem lehetne elkülöníteni, hogy az egyes területeken mért változást a </w:t>
      </w:r>
      <w:proofErr w:type="spellStart"/>
      <w:r w:rsidR="00B57649" w:rsidRPr="005A3C94">
        <w:rPr>
          <w:rFonts w:ascii="Times New Roman" w:hAnsi="Times New Roman" w:cs="Times New Roman"/>
          <w:sz w:val="24"/>
          <w:szCs w:val="24"/>
        </w:rPr>
        <w:t>programben</w:t>
      </w:r>
      <w:proofErr w:type="spellEnd"/>
      <w:r w:rsidR="00B57649" w:rsidRPr="005A3C94">
        <w:rPr>
          <w:rFonts w:ascii="Times New Roman" w:hAnsi="Times New Roman" w:cs="Times New Roman"/>
          <w:sz w:val="24"/>
          <w:szCs w:val="24"/>
        </w:rPr>
        <w:t xml:space="preserve"> való részvétel okozta, vagy valamilyen külső, iskolai vagy életkori </w:t>
      </w:r>
      <w:r w:rsidR="003C2654">
        <w:rPr>
          <w:rFonts w:ascii="Times New Roman" w:hAnsi="Times New Roman" w:cs="Times New Roman"/>
          <w:sz w:val="24"/>
          <w:szCs w:val="24"/>
        </w:rPr>
        <w:t>sajátosságból adódó hatás</w:t>
      </w:r>
      <w:r w:rsidR="00B57649" w:rsidRPr="005A3C94">
        <w:rPr>
          <w:rFonts w:ascii="Times New Roman" w:hAnsi="Times New Roman" w:cs="Times New Roman"/>
          <w:sz w:val="24"/>
          <w:szCs w:val="24"/>
        </w:rPr>
        <w:t xml:space="preserve">. </w:t>
      </w:r>
    </w:p>
    <w:p w14:paraId="66206F54" w14:textId="3E4CA521" w:rsidR="0035208F" w:rsidRPr="005A3C94" w:rsidRDefault="00B57649" w:rsidP="00B57649">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 88 ötödik osztályos diákot tehát kontroll és kísérleti csoportokra osztottuk, 44-en a kontroll és 44-en </w:t>
      </w:r>
      <w:r w:rsidR="0035208F">
        <w:rPr>
          <w:rFonts w:ascii="Times New Roman" w:hAnsi="Times New Roman" w:cs="Times New Roman"/>
          <w:sz w:val="24"/>
          <w:szCs w:val="24"/>
        </w:rPr>
        <w:t xml:space="preserve">a kísérleti osztályokba járnak. Az elemzés során a fent felsorolt 6 szempontot nem csak a kísérleti, és kontroll csoportok szerinti bontásban vizsgáljuk, hanem ezeket a </w:t>
      </w:r>
      <w:proofErr w:type="spellStart"/>
      <w:r w:rsidR="0035208F">
        <w:rPr>
          <w:rFonts w:ascii="Times New Roman" w:hAnsi="Times New Roman" w:cs="Times New Roman"/>
          <w:sz w:val="24"/>
          <w:szCs w:val="24"/>
        </w:rPr>
        <w:t>cso</w:t>
      </w:r>
      <w:r w:rsidR="001329BA">
        <w:rPr>
          <w:rFonts w:ascii="Times New Roman" w:hAnsi="Times New Roman" w:cs="Times New Roman"/>
          <w:sz w:val="24"/>
          <w:szCs w:val="24"/>
        </w:rPr>
        <w:t>portjokat</w:t>
      </w:r>
      <w:proofErr w:type="spellEnd"/>
      <w:r w:rsidR="001329BA">
        <w:rPr>
          <w:rFonts w:ascii="Times New Roman" w:hAnsi="Times New Roman" w:cs="Times New Roman"/>
          <w:sz w:val="24"/>
          <w:szCs w:val="24"/>
        </w:rPr>
        <w:t xml:space="preserve"> tovább bontottuk</w:t>
      </w:r>
      <w:r w:rsidR="0035208F">
        <w:rPr>
          <w:rFonts w:ascii="Times New Roman" w:hAnsi="Times New Roman" w:cs="Times New Roman"/>
          <w:sz w:val="24"/>
          <w:szCs w:val="24"/>
        </w:rPr>
        <w:t xml:space="preserve"> a diákok jövedelmi háttere és az egyes</w:t>
      </w:r>
      <w:r w:rsidR="001329BA">
        <w:rPr>
          <w:rFonts w:ascii="Times New Roman" w:hAnsi="Times New Roman" w:cs="Times New Roman"/>
          <w:sz w:val="24"/>
          <w:szCs w:val="24"/>
        </w:rPr>
        <w:t xml:space="preserve"> befogadó</w:t>
      </w:r>
      <w:r w:rsidR="0035208F">
        <w:rPr>
          <w:rFonts w:ascii="Times New Roman" w:hAnsi="Times New Roman" w:cs="Times New Roman"/>
          <w:sz w:val="24"/>
          <w:szCs w:val="24"/>
        </w:rPr>
        <w:t xml:space="preserve"> intézmények </w:t>
      </w:r>
      <w:r w:rsidR="001329BA">
        <w:rPr>
          <w:rFonts w:ascii="Times New Roman" w:hAnsi="Times New Roman" w:cs="Times New Roman"/>
          <w:sz w:val="24"/>
          <w:szCs w:val="24"/>
        </w:rPr>
        <w:t>szerint.</w:t>
      </w:r>
      <w:r w:rsidR="0035208F">
        <w:rPr>
          <w:rFonts w:ascii="Times New Roman" w:hAnsi="Times New Roman" w:cs="Times New Roman"/>
          <w:sz w:val="24"/>
          <w:szCs w:val="24"/>
        </w:rPr>
        <w:t xml:space="preserve"> Így vizsgálható, hogy a program a diákok mely csoportjára van a legnagyobb hatással, illetve, hogy konzisztens-e a program hatása a különböző intézményekben tanuló diákokra.</w:t>
      </w:r>
    </w:p>
    <w:p w14:paraId="50318D99" w14:textId="77777777" w:rsidR="00B57649" w:rsidRPr="005A3C94" w:rsidRDefault="00B57649" w:rsidP="00B57649">
      <w:pPr>
        <w:pStyle w:val="Cmsor3"/>
        <w:spacing w:line="360" w:lineRule="auto"/>
      </w:pPr>
      <w:bookmarkStart w:id="8" w:name="_Toc437242818"/>
      <w:r w:rsidRPr="005A3C94">
        <w:t>A mérés eszközei</w:t>
      </w:r>
      <w:bookmarkEnd w:id="8"/>
    </w:p>
    <w:p w14:paraId="0AA14EFC" w14:textId="77777777" w:rsidR="006A6674" w:rsidRPr="005A3C94" w:rsidRDefault="006A6674" w:rsidP="006A6674">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Röviden bemutatjuk azokat a teszteket, amelyek alkalmazásával mértük</w:t>
      </w:r>
      <w:r w:rsidR="00B25CD8" w:rsidRPr="005A3C94">
        <w:rPr>
          <w:rFonts w:ascii="Times New Roman" w:hAnsi="Times New Roman" w:cs="Times New Roman"/>
          <w:sz w:val="24"/>
          <w:szCs w:val="24"/>
        </w:rPr>
        <w:t>, hogy a Kreatív Partn</w:t>
      </w:r>
      <w:r w:rsidRPr="005A3C94">
        <w:rPr>
          <w:rFonts w:ascii="Times New Roman" w:hAnsi="Times New Roman" w:cs="Times New Roman"/>
          <w:sz w:val="24"/>
          <w:szCs w:val="24"/>
        </w:rPr>
        <w:t>erségnek van-e hatása a diákok</w:t>
      </w:r>
      <w:r w:rsidR="00B25CD8" w:rsidRPr="005A3C94">
        <w:rPr>
          <w:rFonts w:ascii="Times New Roman" w:hAnsi="Times New Roman" w:cs="Times New Roman"/>
          <w:sz w:val="24"/>
          <w:szCs w:val="24"/>
        </w:rPr>
        <w:t xml:space="preserve"> teljesítményére. </w:t>
      </w:r>
    </w:p>
    <w:p w14:paraId="03A67BFE" w14:textId="0A781EE8" w:rsidR="002D3CB8" w:rsidRPr="005A3C94" w:rsidRDefault="00481855" w:rsidP="006A667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Az olvasás kiépültségének vizsgálatára </w:t>
      </w:r>
      <w:r w:rsidR="00B25CD8" w:rsidRPr="005A3C94">
        <w:rPr>
          <w:rFonts w:ascii="Times New Roman" w:hAnsi="Times New Roman" w:cs="Times New Roman"/>
          <w:sz w:val="24"/>
          <w:szCs w:val="24"/>
        </w:rPr>
        <w:t>az Oktatáskutató és Fejlesztőintézet által kialakított olvasáskiépültséget vizsgál</w:t>
      </w:r>
      <w:r>
        <w:rPr>
          <w:rFonts w:ascii="Times New Roman" w:hAnsi="Times New Roman" w:cs="Times New Roman"/>
          <w:sz w:val="24"/>
          <w:szCs w:val="24"/>
        </w:rPr>
        <w:t>ó tesztet alkalmaztuk, amelyet az Országos Készség- és K</w:t>
      </w:r>
      <w:r w:rsidR="00B25CD8" w:rsidRPr="005A3C94">
        <w:rPr>
          <w:rFonts w:ascii="Times New Roman" w:hAnsi="Times New Roman" w:cs="Times New Roman"/>
          <w:sz w:val="24"/>
          <w:szCs w:val="24"/>
        </w:rPr>
        <w:t>épességmérés vizsgálatok során vettek fel</w:t>
      </w:r>
      <w:r>
        <w:rPr>
          <w:rFonts w:ascii="Times New Roman" w:hAnsi="Times New Roman" w:cs="Times New Roman"/>
          <w:sz w:val="24"/>
          <w:szCs w:val="24"/>
        </w:rPr>
        <w:t xml:space="preserve"> negyedikes diákokkal</w:t>
      </w:r>
      <w:r w:rsidR="00B25CD8" w:rsidRPr="005A3C94">
        <w:rPr>
          <w:rFonts w:ascii="Times New Roman" w:hAnsi="Times New Roman" w:cs="Times New Roman"/>
          <w:sz w:val="24"/>
          <w:szCs w:val="24"/>
        </w:rPr>
        <w:t>.</w:t>
      </w:r>
      <w:r w:rsidR="00B25CD8" w:rsidRPr="005A3C94">
        <w:rPr>
          <w:rStyle w:val="Lbjegyzet-hivatkozs"/>
          <w:rFonts w:ascii="Times New Roman" w:hAnsi="Times New Roman" w:cs="Times New Roman"/>
          <w:sz w:val="24"/>
          <w:szCs w:val="24"/>
        </w:rPr>
        <w:footnoteReference w:id="6"/>
      </w:r>
      <w:r>
        <w:rPr>
          <w:rFonts w:ascii="Times New Roman" w:hAnsi="Times New Roman" w:cs="Times New Roman"/>
          <w:sz w:val="24"/>
          <w:szCs w:val="24"/>
        </w:rPr>
        <w:t xml:space="preserve"> Így</w:t>
      </w:r>
      <w:r w:rsidR="00B25CD8" w:rsidRPr="005A3C94">
        <w:rPr>
          <w:rFonts w:ascii="Times New Roman" w:hAnsi="Times New Roman" w:cs="Times New Roman"/>
          <w:sz w:val="24"/>
          <w:szCs w:val="24"/>
        </w:rPr>
        <w:t xml:space="preserve"> értékelésünk e része összehasonlító </w:t>
      </w:r>
      <w:r>
        <w:rPr>
          <w:rFonts w:ascii="Times New Roman" w:hAnsi="Times New Roman" w:cs="Times New Roman"/>
          <w:sz w:val="24"/>
          <w:szCs w:val="24"/>
        </w:rPr>
        <w:t>eme országos vizsgálat eredményeivel</w:t>
      </w:r>
      <w:r w:rsidR="00B25CD8" w:rsidRPr="005A3C94">
        <w:rPr>
          <w:rFonts w:ascii="Times New Roman" w:hAnsi="Times New Roman" w:cs="Times New Roman"/>
          <w:sz w:val="24"/>
          <w:szCs w:val="24"/>
        </w:rPr>
        <w:t>.</w:t>
      </w:r>
      <w:r w:rsidR="002D3CB8" w:rsidRPr="005A3C94">
        <w:rPr>
          <w:rFonts w:ascii="Times New Roman" w:hAnsi="Times New Roman" w:cs="Times New Roman"/>
          <w:sz w:val="24"/>
          <w:szCs w:val="24"/>
        </w:rPr>
        <w:t xml:space="preserve"> </w:t>
      </w:r>
    </w:p>
    <w:p w14:paraId="28EC3521" w14:textId="3888F482" w:rsidR="00481855" w:rsidRPr="0035208F" w:rsidRDefault="00481855" w:rsidP="006A6674">
      <w:pPr>
        <w:spacing w:line="276" w:lineRule="auto"/>
        <w:jc w:val="both"/>
        <w:rPr>
          <w:rFonts w:ascii="Times New Roman" w:hAnsi="Times New Roman" w:cs="Times New Roman"/>
          <w:sz w:val="24"/>
          <w:szCs w:val="24"/>
        </w:rPr>
      </w:pPr>
      <w:r w:rsidRPr="0035208F">
        <w:rPr>
          <w:rFonts w:ascii="Times New Roman" w:hAnsi="Times New Roman" w:cs="Times New Roman"/>
          <w:sz w:val="24"/>
          <w:szCs w:val="24"/>
        </w:rPr>
        <w:t xml:space="preserve">A matematika tudástesztet a </w:t>
      </w:r>
      <w:proofErr w:type="spellStart"/>
      <w:r w:rsidRPr="0035208F">
        <w:rPr>
          <w:rFonts w:ascii="Times New Roman" w:hAnsi="Times New Roman" w:cs="Times New Roman"/>
          <w:sz w:val="24"/>
          <w:szCs w:val="24"/>
        </w:rPr>
        <w:t>T-Tudok</w:t>
      </w:r>
      <w:proofErr w:type="spellEnd"/>
      <w:r w:rsidRPr="0035208F">
        <w:rPr>
          <w:rFonts w:ascii="Times New Roman" w:hAnsi="Times New Roman" w:cs="Times New Roman"/>
          <w:sz w:val="24"/>
          <w:szCs w:val="24"/>
        </w:rPr>
        <w:t xml:space="preserve"> felkért matematika szakértői fejlesztették</w:t>
      </w:r>
      <w:r w:rsidRPr="001329BA">
        <w:rPr>
          <w:rStyle w:val="Lbjegyzet-hivatkozs"/>
          <w:rFonts w:ascii="Times New Roman" w:hAnsi="Times New Roman" w:cs="Times New Roman"/>
          <w:sz w:val="24"/>
          <w:szCs w:val="24"/>
        </w:rPr>
        <w:footnoteReference w:id="7"/>
      </w:r>
      <w:r w:rsidRPr="001329BA">
        <w:rPr>
          <w:rStyle w:val="Lbjegyzet-hivatkozs"/>
        </w:rPr>
        <w:t>.</w:t>
      </w:r>
      <w:r w:rsidRPr="0035208F">
        <w:rPr>
          <w:rFonts w:ascii="Times New Roman" w:hAnsi="Times New Roman" w:cs="Times New Roman"/>
          <w:sz w:val="24"/>
          <w:szCs w:val="24"/>
        </w:rPr>
        <w:t xml:space="preserve"> A bemeneti és a kimeneti mérés során használt matematika tesztek a tantervi előírásokhoz igazodtak. A feladatok négy nagyobb kérdéskört vizsgáltak: a számelméletet, mérőszámokat, geometriát és szöveges feladatokat. A bemeneti mérés a gyerekek számfogalmát, mértékegységek ismeretét, geometriai műveletek megoldását vizsgálta, valamint tesztelte a tanulók szöveges feladat értelmező képességét is. A kimeneti mérés a geometriai alapfogalmak ismeretét és az egész számok halmazában a számolási készséget tesztelte, valamint vizsgálta, hogy mennyire képesek értelmezni egyszerűbb grafikonokat és használni a koordináta rendszert.</w:t>
      </w:r>
    </w:p>
    <w:p w14:paraId="55FACEBE" w14:textId="5D63BE19" w:rsidR="002B40B6" w:rsidRPr="005A3C94" w:rsidRDefault="002B40B6" w:rsidP="006A6674">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Az olvasási és matematikai képességek mel</w:t>
      </w:r>
      <w:r w:rsidR="00481855">
        <w:rPr>
          <w:rFonts w:ascii="Times New Roman" w:hAnsi="Times New Roman" w:cs="Times New Roman"/>
          <w:sz w:val="24"/>
          <w:szCs w:val="24"/>
        </w:rPr>
        <w:t xml:space="preserve">lett </w:t>
      </w:r>
      <w:r w:rsidR="00FE43A1">
        <w:rPr>
          <w:rFonts w:ascii="Times New Roman" w:hAnsi="Times New Roman" w:cs="Times New Roman"/>
          <w:sz w:val="24"/>
          <w:szCs w:val="24"/>
        </w:rPr>
        <w:t xml:space="preserve">megvizsgáltuk, hogyan változott a diákok </w:t>
      </w:r>
      <w:r w:rsidRPr="005A3C94">
        <w:rPr>
          <w:rFonts w:ascii="Times New Roman" w:hAnsi="Times New Roman" w:cs="Times New Roman"/>
          <w:sz w:val="24"/>
          <w:szCs w:val="24"/>
        </w:rPr>
        <w:t>önértékelés</w:t>
      </w:r>
      <w:r w:rsidR="00FE43A1">
        <w:rPr>
          <w:rFonts w:ascii="Times New Roman" w:hAnsi="Times New Roman" w:cs="Times New Roman"/>
          <w:sz w:val="24"/>
          <w:szCs w:val="24"/>
        </w:rPr>
        <w:t>e, személyisége</w:t>
      </w:r>
      <w:r w:rsidRPr="005A3C94">
        <w:rPr>
          <w:rFonts w:ascii="Times New Roman" w:hAnsi="Times New Roman" w:cs="Times New Roman"/>
          <w:sz w:val="24"/>
          <w:szCs w:val="24"/>
        </w:rPr>
        <w:t>. Ehhez egy az Oktatáskutató és Fejlesztőintézet által már az úgynevezett</w:t>
      </w:r>
      <w:r w:rsidR="00E343AA" w:rsidRPr="005A3C94">
        <w:rPr>
          <w:rFonts w:ascii="Times New Roman" w:hAnsi="Times New Roman" w:cs="Times New Roman"/>
          <w:sz w:val="24"/>
          <w:szCs w:val="24"/>
        </w:rPr>
        <w:t xml:space="preserve"> </w:t>
      </w:r>
      <w:r w:rsidR="00FE0ABC" w:rsidRPr="005A3C94">
        <w:rPr>
          <w:rFonts w:ascii="Times New Roman" w:hAnsi="Times New Roman" w:cs="Times New Roman"/>
          <w:sz w:val="24"/>
          <w:szCs w:val="24"/>
        </w:rPr>
        <w:t>egész napos iskola</w:t>
      </w:r>
      <w:r w:rsidR="00E343AA" w:rsidRPr="005A3C94">
        <w:rPr>
          <w:rFonts w:ascii="Times New Roman" w:hAnsi="Times New Roman" w:cs="Times New Roman"/>
          <w:sz w:val="24"/>
          <w:szCs w:val="24"/>
        </w:rPr>
        <w:t xml:space="preserve"> vizsgálata során</w:t>
      </w:r>
      <w:r w:rsidRPr="005A3C94">
        <w:rPr>
          <w:rFonts w:ascii="Times New Roman" w:hAnsi="Times New Roman" w:cs="Times New Roman"/>
          <w:sz w:val="24"/>
          <w:szCs w:val="24"/>
        </w:rPr>
        <w:t xml:space="preserve"> alkalmazott kérdéssort használtunk</w:t>
      </w:r>
      <w:r w:rsidR="009E4F2E">
        <w:rPr>
          <w:rFonts w:ascii="Times New Roman" w:hAnsi="Times New Roman" w:cs="Times New Roman"/>
          <w:sz w:val="24"/>
          <w:szCs w:val="24"/>
        </w:rPr>
        <w:t xml:space="preserve"> (</w:t>
      </w:r>
      <w:r w:rsidR="009E4F2E" w:rsidRPr="005A3C94">
        <w:rPr>
          <w:rFonts w:ascii="Times New Roman" w:hAnsi="Times New Roman" w:cs="Times New Roman"/>
          <w:sz w:val="24"/>
        </w:rPr>
        <w:t xml:space="preserve">TÁMOP 3.1.1. II. szakasz 3. </w:t>
      </w:r>
      <w:proofErr w:type="spellStart"/>
      <w:r w:rsidR="009E4F2E" w:rsidRPr="005A3C94">
        <w:rPr>
          <w:rFonts w:ascii="Times New Roman" w:hAnsi="Times New Roman" w:cs="Times New Roman"/>
          <w:sz w:val="24"/>
        </w:rPr>
        <w:t>alprojekt</w:t>
      </w:r>
      <w:proofErr w:type="spellEnd"/>
      <w:r w:rsidR="009E4F2E" w:rsidRPr="005A3C94">
        <w:rPr>
          <w:rFonts w:ascii="Times New Roman" w:hAnsi="Times New Roman" w:cs="Times New Roman"/>
          <w:sz w:val="24"/>
        </w:rPr>
        <w:t xml:space="preserve"> kom</w:t>
      </w:r>
      <w:r w:rsidR="009E4F2E">
        <w:rPr>
          <w:rFonts w:ascii="Times New Roman" w:hAnsi="Times New Roman" w:cs="Times New Roman"/>
          <w:sz w:val="24"/>
        </w:rPr>
        <w:t>plex művészeti nevelés téma)</w:t>
      </w:r>
      <w:r w:rsidRPr="005A3C94">
        <w:rPr>
          <w:rFonts w:ascii="Times New Roman" w:hAnsi="Times New Roman" w:cs="Times New Roman"/>
          <w:sz w:val="24"/>
          <w:szCs w:val="24"/>
        </w:rPr>
        <w:t>, amely több különböző területet vizsgálnak, ezek az énkép, a szociális képesség, a tanulási motiváció és az empátia.</w:t>
      </w:r>
      <w:r w:rsidR="00E343AA" w:rsidRPr="005A3C94">
        <w:rPr>
          <w:rFonts w:ascii="Times New Roman" w:hAnsi="Times New Roman" w:cs="Times New Roman"/>
          <w:sz w:val="24"/>
          <w:szCs w:val="24"/>
        </w:rPr>
        <w:t xml:space="preserve"> Ezt a tesztet a </w:t>
      </w:r>
      <w:proofErr w:type="spellStart"/>
      <w:r w:rsidR="00E343AA" w:rsidRPr="005A3C94">
        <w:rPr>
          <w:rFonts w:ascii="Times New Roman" w:hAnsi="Times New Roman" w:cs="Times New Roman"/>
          <w:sz w:val="24"/>
          <w:szCs w:val="24"/>
        </w:rPr>
        <w:t>T-Tudok</w:t>
      </w:r>
      <w:proofErr w:type="spellEnd"/>
      <w:r w:rsidR="00E343AA" w:rsidRPr="005A3C94">
        <w:rPr>
          <w:rFonts w:ascii="Times New Roman" w:hAnsi="Times New Roman" w:cs="Times New Roman"/>
          <w:sz w:val="24"/>
          <w:szCs w:val="24"/>
        </w:rPr>
        <w:t xml:space="preserve"> a következőkben vizsgált iskolák másik osztályaiban is felvette korábban, vagyis lehetőségünk nyílik arra, hogy a következőkben részletezett, attitűdkérdések alakulását egy kor</w:t>
      </w:r>
      <w:r w:rsidR="00481855">
        <w:rPr>
          <w:rFonts w:ascii="Times New Roman" w:hAnsi="Times New Roman" w:cs="Times New Roman"/>
          <w:sz w:val="24"/>
          <w:szCs w:val="24"/>
        </w:rPr>
        <w:t xml:space="preserve">ábban általunk végzett méréshez, </w:t>
      </w:r>
      <w:r w:rsidR="00E343AA" w:rsidRPr="005A3C94">
        <w:rPr>
          <w:rFonts w:ascii="Times New Roman" w:hAnsi="Times New Roman" w:cs="Times New Roman"/>
          <w:sz w:val="24"/>
          <w:szCs w:val="24"/>
        </w:rPr>
        <w:t>valamint egy országos kutatáshoz is hasonlítsuk.</w:t>
      </w:r>
    </w:p>
    <w:p w14:paraId="7CF2A653" w14:textId="371DBA12" w:rsidR="00F97F09" w:rsidRPr="005A3C94" w:rsidRDefault="00F97F09" w:rsidP="006A6674">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Mivel nagyon kicsi elemszámú adatbázissal dolgozunk az eredmények nem alkalmasak sem általánosításra, sem arra, hogy biztosan megfigyelhessünk javuló</w:t>
      </w:r>
      <w:r w:rsidR="00481855">
        <w:rPr>
          <w:rFonts w:ascii="Times New Roman" w:hAnsi="Times New Roman" w:cs="Times New Roman"/>
          <w:sz w:val="24"/>
          <w:szCs w:val="24"/>
        </w:rPr>
        <w:t>, vagy romló tendenciákat, viszont értékes információkkal szolgál a program működési és hatásmechanizmusairól.</w:t>
      </w:r>
    </w:p>
    <w:p w14:paraId="0C9AC91B" w14:textId="77777777" w:rsidR="00250E60" w:rsidRPr="005A3C94" w:rsidRDefault="00250E60" w:rsidP="006A6674">
      <w:pPr>
        <w:spacing w:line="276" w:lineRule="auto"/>
        <w:rPr>
          <w:rFonts w:ascii="Garamond" w:eastAsiaTheme="majorEastAsia" w:hAnsi="Garamond" w:cstheme="majorBidi"/>
          <w:color w:val="2E74B5" w:themeColor="accent1" w:themeShade="BF"/>
          <w:sz w:val="32"/>
          <w:szCs w:val="32"/>
        </w:rPr>
      </w:pPr>
      <w:r w:rsidRPr="005A3C94">
        <w:rPr>
          <w:rFonts w:ascii="Garamond" w:hAnsi="Garamond"/>
        </w:rPr>
        <w:br w:type="page"/>
      </w:r>
    </w:p>
    <w:p w14:paraId="650EBF95" w14:textId="5647692D" w:rsidR="004D6CC2" w:rsidRPr="005A3C94" w:rsidRDefault="004D6CC2" w:rsidP="001F2659">
      <w:pPr>
        <w:pStyle w:val="Cmsor1"/>
        <w:rPr>
          <w:rFonts w:ascii="Garamond" w:hAnsi="Garamond"/>
        </w:rPr>
      </w:pPr>
      <w:bookmarkStart w:id="9" w:name="_Toc437242819"/>
      <w:r w:rsidRPr="005A3C94">
        <w:rPr>
          <w:rFonts w:ascii="Garamond" w:hAnsi="Garamond"/>
        </w:rPr>
        <w:t xml:space="preserve">A matematika-pilot program </w:t>
      </w:r>
      <w:r w:rsidR="00026887" w:rsidRPr="005A3C94">
        <w:rPr>
          <w:rFonts w:ascii="Garamond" w:hAnsi="Garamond"/>
        </w:rPr>
        <w:t xml:space="preserve">tanulói </w:t>
      </w:r>
      <w:r w:rsidRPr="005A3C94">
        <w:rPr>
          <w:rFonts w:ascii="Garamond" w:hAnsi="Garamond"/>
        </w:rPr>
        <w:t>ért</w:t>
      </w:r>
      <w:r w:rsidR="00026887" w:rsidRPr="005A3C94">
        <w:rPr>
          <w:rFonts w:ascii="Garamond" w:hAnsi="Garamond"/>
        </w:rPr>
        <w:t>ékelésének eredményei</w:t>
      </w:r>
      <w:bookmarkEnd w:id="9"/>
    </w:p>
    <w:p w14:paraId="1081BE5A" w14:textId="77777777" w:rsidR="004D6CC2" w:rsidRPr="005A3C94" w:rsidRDefault="004D6CC2" w:rsidP="008C67DC">
      <w:pPr>
        <w:spacing w:line="276" w:lineRule="auto"/>
        <w:jc w:val="both"/>
        <w:rPr>
          <w:rFonts w:ascii="Times New Roman" w:hAnsi="Times New Roman" w:cs="Times New Roman"/>
          <w:sz w:val="24"/>
          <w:szCs w:val="24"/>
        </w:rPr>
      </w:pPr>
    </w:p>
    <w:p w14:paraId="7781EC32" w14:textId="635E9080" w:rsidR="004963D8" w:rsidRPr="005A3C94" w:rsidRDefault="004D6CC2" w:rsidP="00026887">
      <w:pPr>
        <w:pStyle w:val="Cmsor2"/>
      </w:pPr>
      <w:bookmarkStart w:id="10" w:name="_Toc437242820"/>
      <w:r w:rsidRPr="005A3C94">
        <w:t>Énkép, szociális kompetencia, empátia, tanulási motiváció</w:t>
      </w:r>
      <w:bookmarkEnd w:id="10"/>
    </w:p>
    <w:p w14:paraId="0A1902ED" w14:textId="68BBEB4D" w:rsidR="007D3858" w:rsidRPr="005A3C94" w:rsidRDefault="00DB396A" w:rsidP="008C67D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Ebben a fejezetben a</w:t>
      </w:r>
      <w:r w:rsidR="007D3858" w:rsidRPr="005A3C94">
        <w:rPr>
          <w:rFonts w:ascii="Times New Roman" w:hAnsi="Times New Roman" w:cs="Times New Roman"/>
          <w:sz w:val="24"/>
          <w:szCs w:val="24"/>
        </w:rPr>
        <w:t xml:space="preserve">zt vizsgáljuk, hogy hogyan változtak a kísérleti és kontroll csoportokba tartozó diákok válaszai a </w:t>
      </w:r>
      <w:r w:rsidRPr="005A3C94">
        <w:rPr>
          <w:rFonts w:ascii="Times New Roman" w:hAnsi="Times New Roman" w:cs="Times New Roman"/>
          <w:sz w:val="24"/>
          <w:szCs w:val="24"/>
        </w:rPr>
        <w:t>beve</w:t>
      </w:r>
      <w:r w:rsidR="007D3858" w:rsidRPr="005A3C94">
        <w:rPr>
          <w:rFonts w:ascii="Times New Roman" w:hAnsi="Times New Roman" w:cs="Times New Roman"/>
          <w:sz w:val="24"/>
          <w:szCs w:val="24"/>
        </w:rPr>
        <w:t>zetőben már említett motivációs és</w:t>
      </w:r>
      <w:r w:rsidRPr="005A3C94">
        <w:rPr>
          <w:rFonts w:ascii="Times New Roman" w:hAnsi="Times New Roman" w:cs="Times New Roman"/>
          <w:sz w:val="24"/>
          <w:szCs w:val="24"/>
        </w:rPr>
        <w:t xml:space="preserve"> attitűd kérdések</w:t>
      </w:r>
      <w:r w:rsidR="007D3858" w:rsidRPr="005A3C94">
        <w:rPr>
          <w:rFonts w:ascii="Times New Roman" w:hAnsi="Times New Roman" w:cs="Times New Roman"/>
          <w:sz w:val="24"/>
          <w:szCs w:val="24"/>
        </w:rPr>
        <w:t>re a bemeneti és a kimeneti mérés között</w:t>
      </w:r>
      <w:r w:rsidR="00356747">
        <w:rPr>
          <w:rStyle w:val="Lbjegyzet-hivatkozs"/>
          <w:rFonts w:ascii="Times New Roman" w:hAnsi="Times New Roman" w:cs="Times New Roman"/>
          <w:sz w:val="24"/>
          <w:szCs w:val="24"/>
        </w:rPr>
        <w:footnoteReference w:id="8"/>
      </w:r>
      <w:r w:rsidR="007D3858" w:rsidRPr="005A3C94">
        <w:rPr>
          <w:rFonts w:ascii="Times New Roman" w:hAnsi="Times New Roman" w:cs="Times New Roman"/>
          <w:sz w:val="24"/>
          <w:szCs w:val="24"/>
        </w:rPr>
        <w:t xml:space="preserve">. </w:t>
      </w:r>
    </w:p>
    <w:p w14:paraId="52144796" w14:textId="1F7C8788" w:rsidR="00C242C6" w:rsidRPr="005A3C94" w:rsidRDefault="00390130" w:rsidP="008C67D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 szociális attitűdök során négy különböző területet vizsgálunk. Ezek az énkép, a szociális képességek, az empátia és a tanulási motiváció. </w:t>
      </w:r>
      <w:r w:rsidR="00685DD5" w:rsidRPr="005A3C94">
        <w:rPr>
          <w:rFonts w:ascii="Times New Roman" w:hAnsi="Times New Roman" w:cs="Times New Roman"/>
          <w:sz w:val="24"/>
          <w:szCs w:val="24"/>
        </w:rPr>
        <w:t xml:space="preserve">Ezeket összesen 34 </w:t>
      </w:r>
      <w:proofErr w:type="spellStart"/>
      <w:r w:rsidR="00685DD5" w:rsidRPr="005A3C94">
        <w:rPr>
          <w:rFonts w:ascii="Times New Roman" w:hAnsi="Times New Roman" w:cs="Times New Roman"/>
          <w:sz w:val="24"/>
          <w:szCs w:val="24"/>
        </w:rPr>
        <w:t>item</w:t>
      </w:r>
      <w:proofErr w:type="spellEnd"/>
      <w:r w:rsidR="00685DD5" w:rsidRPr="005A3C94">
        <w:rPr>
          <w:rFonts w:ascii="Times New Roman" w:hAnsi="Times New Roman" w:cs="Times New Roman"/>
          <w:sz w:val="24"/>
          <w:szCs w:val="24"/>
        </w:rPr>
        <w:t xml:space="preserve"> felhasználásával vizsgáltuk,</w:t>
      </w:r>
      <w:r w:rsidR="00494C6F" w:rsidRPr="005A3C94">
        <w:rPr>
          <w:rFonts w:ascii="Times New Roman" w:hAnsi="Times New Roman" w:cs="Times New Roman"/>
          <w:sz w:val="24"/>
          <w:szCs w:val="24"/>
        </w:rPr>
        <w:t xml:space="preserve"> az egyes területeket többféle kérdés segítségével körülrajzolva. Minden egyes kérdésre négy válaszlehetőségük volt a gyerekeknek: </w:t>
      </w:r>
      <w:r w:rsidR="00494C6F" w:rsidRPr="005A3C94">
        <w:rPr>
          <w:rFonts w:ascii="Times New Roman" w:hAnsi="Times New Roman" w:cs="Times New Roman"/>
          <w:i/>
          <w:sz w:val="24"/>
          <w:szCs w:val="24"/>
        </w:rPr>
        <w:t xml:space="preserve">egyáltalán nem jellemző rám, nem jellemző rám, jellemző rám, nagyon jellemző rám. </w:t>
      </w:r>
      <w:r w:rsidR="00494C6F" w:rsidRPr="005A3C94">
        <w:rPr>
          <w:rFonts w:ascii="Times New Roman" w:hAnsi="Times New Roman" w:cs="Times New Roman"/>
          <w:sz w:val="24"/>
          <w:szCs w:val="24"/>
        </w:rPr>
        <w:t xml:space="preserve">Az első két választ tekintettük negatívnak: ha ezeket választotta, akkor az adott állítás nem jellemző rá. </w:t>
      </w:r>
      <w:r w:rsidR="00B71AD3" w:rsidRPr="005A3C94">
        <w:rPr>
          <w:rFonts w:ascii="Times New Roman" w:hAnsi="Times New Roman" w:cs="Times New Roman"/>
          <w:sz w:val="24"/>
          <w:szCs w:val="24"/>
        </w:rPr>
        <w:t xml:space="preserve">Ennek megfelelő a második két válaszlehetőség jelenti a pozitív választ, vagyis azt, hogy magára nézve jellemzőnek érzi az adott állításban megfogalmazott viselkedésmintát vagy személyiségjegyet. Az elemzéshez megszámoltuk, hogy az egyes esetekben hányszor választották a pozitív és </w:t>
      </w:r>
      <w:r w:rsidR="008C4D81" w:rsidRPr="005A3C94">
        <w:rPr>
          <w:rFonts w:ascii="Times New Roman" w:hAnsi="Times New Roman" w:cs="Times New Roman"/>
          <w:sz w:val="24"/>
          <w:szCs w:val="24"/>
        </w:rPr>
        <w:t xml:space="preserve">hányszor a negatív válaszokat. </w:t>
      </w:r>
      <w:r w:rsidR="003D135F" w:rsidRPr="005A3C94">
        <w:rPr>
          <w:rFonts w:ascii="Times New Roman" w:hAnsi="Times New Roman" w:cs="Times New Roman"/>
          <w:sz w:val="24"/>
          <w:szCs w:val="24"/>
        </w:rPr>
        <w:t>A magasabb szintű többváltozós elemzésre az alacsony esetszám miatt nem vo</w:t>
      </w:r>
      <w:r w:rsidR="008B675E" w:rsidRPr="005A3C94">
        <w:rPr>
          <w:rFonts w:ascii="Times New Roman" w:hAnsi="Times New Roman" w:cs="Times New Roman"/>
          <w:sz w:val="24"/>
          <w:szCs w:val="24"/>
        </w:rPr>
        <w:t xml:space="preserve">lt mód, azonban nagyobb minta esetén mindenképpen érdemes ezeket a technikákat alkalmazni. </w:t>
      </w:r>
    </w:p>
    <w:p w14:paraId="1CF5ADF9" w14:textId="561DAF58" w:rsidR="003C7DAC" w:rsidRPr="005A3C94" w:rsidRDefault="003C7DAC" w:rsidP="008C67DC">
      <w:pPr>
        <w:spacing w:line="276" w:lineRule="auto"/>
        <w:jc w:val="both"/>
        <w:rPr>
          <w:rFonts w:ascii="Times New Roman" w:hAnsi="Times New Roman" w:cs="Times New Roman"/>
          <w:b/>
          <w:sz w:val="24"/>
          <w:szCs w:val="24"/>
        </w:rPr>
      </w:pPr>
      <w:r w:rsidRPr="005A3C94">
        <w:rPr>
          <w:rFonts w:ascii="Times New Roman" w:hAnsi="Times New Roman" w:cs="Times New Roman"/>
          <w:b/>
          <w:sz w:val="24"/>
          <w:szCs w:val="24"/>
        </w:rPr>
        <w:t>A vizsgálat főbb eredményei:</w:t>
      </w:r>
    </w:p>
    <w:p w14:paraId="4BDCAC2B" w14:textId="181BE5C2" w:rsidR="003C7DAC" w:rsidRPr="005A3C94" w:rsidRDefault="005E3575" w:rsidP="003C7DAC">
      <w:pPr>
        <w:pStyle w:val="Listaszerbekezds"/>
        <w:numPr>
          <w:ilvl w:val="0"/>
          <w:numId w:val="26"/>
        </w:num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Erősödött a diákok pozitív énképe a kísérleti csoportban, nagyobb mértékben, mint a kontroll csoportban</w:t>
      </w:r>
    </w:p>
    <w:p w14:paraId="3C1E6A67" w14:textId="6C072553" w:rsidR="003C7DAC" w:rsidRPr="005A3C94" w:rsidRDefault="005E3575" w:rsidP="003C7DAC">
      <w:pPr>
        <w:pStyle w:val="Listaszerbekezds"/>
        <w:numPr>
          <w:ilvl w:val="0"/>
          <w:numId w:val="26"/>
        </w:num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A szociális képességekre vonatkozó pozitív attitűd is erősödött a kísérleti csoportban, szintén nagyobb mértékben, mint a kontroll csoportban</w:t>
      </w:r>
    </w:p>
    <w:p w14:paraId="44F0FD38" w14:textId="231B1971" w:rsidR="003C7DAC" w:rsidRPr="005A3C94" w:rsidRDefault="007F4404" w:rsidP="003C7DAC">
      <w:pPr>
        <w:pStyle w:val="Listaszerbekezds"/>
        <w:numPr>
          <w:ilvl w:val="0"/>
          <w:numId w:val="26"/>
        </w:num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Az empátia és a tanulási motiváció szintje nem nőtt szignifikánsan </w:t>
      </w:r>
      <w:r w:rsidR="007D3858" w:rsidRPr="005A3C94">
        <w:rPr>
          <w:rFonts w:ascii="Times New Roman" w:hAnsi="Times New Roman" w:cs="Times New Roman"/>
          <w:sz w:val="24"/>
          <w:szCs w:val="24"/>
        </w:rPr>
        <w:t>sem a kísérleti, sem a kontroll csoportban</w:t>
      </w:r>
    </w:p>
    <w:p w14:paraId="29EFDB6D" w14:textId="77777777" w:rsidR="003C7DAC" w:rsidRPr="005A3C94" w:rsidRDefault="003C7DAC" w:rsidP="008C67DC">
      <w:pPr>
        <w:spacing w:line="276" w:lineRule="auto"/>
        <w:rPr>
          <w:rFonts w:ascii="Times New Roman" w:hAnsi="Times New Roman" w:cs="Times New Roman"/>
          <w:sz w:val="24"/>
          <w:szCs w:val="24"/>
        </w:rPr>
      </w:pPr>
    </w:p>
    <w:p w14:paraId="61142434" w14:textId="77777777" w:rsidR="00CF569F" w:rsidRPr="005A3C94" w:rsidRDefault="00CF569F" w:rsidP="00CF569F"/>
    <w:p w14:paraId="1B35E86A" w14:textId="77777777" w:rsidR="00CF569F" w:rsidRPr="005A3C94" w:rsidRDefault="00CF569F">
      <w:pPr>
        <w:rPr>
          <w:rFonts w:asciiTheme="majorHAnsi" w:eastAsiaTheme="majorEastAsia" w:hAnsiTheme="majorHAnsi" w:cstheme="majorBidi"/>
          <w:color w:val="1F4D78" w:themeColor="accent1" w:themeShade="7F"/>
          <w:sz w:val="24"/>
          <w:szCs w:val="24"/>
        </w:rPr>
      </w:pPr>
      <w:r w:rsidRPr="005A3C94">
        <w:br w:type="page"/>
      </w:r>
    </w:p>
    <w:p w14:paraId="062124D1" w14:textId="4159559B" w:rsidR="004A1F1C" w:rsidRPr="005A3C94" w:rsidRDefault="003C7DAC" w:rsidP="00CF569F">
      <w:pPr>
        <w:pStyle w:val="Cmsor3"/>
        <w:spacing w:before="0" w:line="276" w:lineRule="auto"/>
      </w:pPr>
      <w:bookmarkStart w:id="11" w:name="_Toc437242821"/>
      <w:r w:rsidRPr="005A3C94">
        <w:t>Énkép</w:t>
      </w:r>
      <w:bookmarkEnd w:id="11"/>
    </w:p>
    <w:p w14:paraId="20503DA3" w14:textId="24C22A98" w:rsidR="00CF569F" w:rsidRPr="005A3C94" w:rsidRDefault="0061240D" w:rsidP="00796A46">
      <w:pPr>
        <w:spacing w:line="276" w:lineRule="auto"/>
        <w:jc w:val="both"/>
      </w:pPr>
      <w:r w:rsidRPr="005A3C94">
        <w:rPr>
          <w:rFonts w:ascii="Times New Roman" w:hAnsi="Times New Roman" w:cs="Times New Roman"/>
          <w:sz w:val="24"/>
          <w:szCs w:val="24"/>
        </w:rPr>
        <w:t xml:space="preserve">A diákok énképét tíz állításon keresztül teszteltük. </w:t>
      </w:r>
      <w:r w:rsidR="00CF569F" w:rsidRPr="005A3C94">
        <w:rPr>
          <w:rFonts w:ascii="Times New Roman" w:hAnsi="Times New Roman" w:cs="Times New Roman"/>
          <w:sz w:val="24"/>
          <w:szCs w:val="24"/>
        </w:rPr>
        <w:t>A diákok énkép</w:t>
      </w:r>
      <w:r w:rsidR="00796A46" w:rsidRPr="005A3C94">
        <w:rPr>
          <w:rFonts w:ascii="Times New Roman" w:hAnsi="Times New Roman" w:cs="Times New Roman"/>
          <w:sz w:val="24"/>
          <w:szCs w:val="24"/>
        </w:rPr>
        <w:t>ének vizsgálata során látható</w:t>
      </w:r>
      <w:r w:rsidR="00CF569F" w:rsidRPr="005A3C94">
        <w:rPr>
          <w:rFonts w:ascii="Times New Roman" w:hAnsi="Times New Roman" w:cs="Times New Roman"/>
          <w:sz w:val="24"/>
          <w:szCs w:val="24"/>
        </w:rPr>
        <w:t>, hogy mind a kontroll, mind a Kreatív Partnerség kísérleti programban részt vevő diákok körében csökkent azok száma, akik kevés (1-6) pozitív állítást tettek</w:t>
      </w:r>
      <w:r w:rsidR="00796A46" w:rsidRPr="005A3C94">
        <w:rPr>
          <w:rFonts w:ascii="Times New Roman" w:hAnsi="Times New Roman" w:cs="Times New Roman"/>
          <w:sz w:val="24"/>
          <w:szCs w:val="24"/>
        </w:rPr>
        <w:t>, és nőtt azoké, akik 9 vagy 10</w:t>
      </w:r>
      <w:r w:rsidR="00CF569F" w:rsidRPr="005A3C94">
        <w:rPr>
          <w:rFonts w:ascii="Times New Roman" w:hAnsi="Times New Roman" w:cs="Times New Roman"/>
          <w:sz w:val="24"/>
          <w:szCs w:val="24"/>
        </w:rPr>
        <w:t xml:space="preserve"> állít</w:t>
      </w:r>
      <w:r w:rsidR="00796A46" w:rsidRPr="005A3C94">
        <w:rPr>
          <w:rFonts w:ascii="Times New Roman" w:hAnsi="Times New Roman" w:cs="Times New Roman"/>
          <w:sz w:val="24"/>
          <w:szCs w:val="24"/>
        </w:rPr>
        <w:t>ásról érezték azt, hogy jellemző rájuk. Míg a kontroll csoportban 7%-al csökkent a kevés pozitív választ adók száma, és 16%-al nőtt a szinte minden állítást magáénak érző diákok száma, ez az arány a kísérleti csoportban 33% és 41% volt, tehát a kísérletben részt vevő diákok között erősebb pozitív folyamatot figyeltünk meg.</w:t>
      </w:r>
    </w:p>
    <w:p w14:paraId="3CADFEA8" w14:textId="77777777" w:rsidR="00CF569F" w:rsidRPr="005A3C94" w:rsidRDefault="00CF569F" w:rsidP="00CF569F">
      <w:pPr>
        <w:keepNext/>
        <w:jc w:val="center"/>
      </w:pPr>
      <w:r w:rsidRPr="005A3C94">
        <w:rPr>
          <w:noProof/>
          <w:lang w:eastAsia="hu-HU"/>
        </w:rPr>
        <w:drawing>
          <wp:inline distT="0" distB="0" distL="0" distR="0" wp14:anchorId="7CC1E345" wp14:editId="13D7F952">
            <wp:extent cx="4218317" cy="2285377"/>
            <wp:effectExtent l="0" t="0" r="10795" b="635"/>
            <wp:docPr id="134" name="Diagram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F09DD5" w14:textId="6955CD17" w:rsidR="00AF0F33" w:rsidRPr="005A3C94" w:rsidRDefault="00DF1D13" w:rsidP="00CF569F">
      <w:pPr>
        <w:pStyle w:val="Kpalrs"/>
      </w:pPr>
      <w:r>
        <w:fldChar w:fldCharType="begin"/>
      </w:r>
      <w:r>
        <w:instrText xml:space="preserve"> SEQ ábra \* ARABIC </w:instrText>
      </w:r>
      <w:r>
        <w:fldChar w:fldCharType="separate"/>
      </w:r>
      <w:r w:rsidR="00483414" w:rsidRPr="005A3C94">
        <w:rPr>
          <w:noProof/>
        </w:rPr>
        <w:t>1</w:t>
      </w:r>
      <w:r>
        <w:rPr>
          <w:noProof/>
        </w:rPr>
        <w:fldChar w:fldCharType="end"/>
      </w:r>
      <w:r w:rsidR="00CF569F" w:rsidRPr="005A3C94">
        <w:t>. ábra: Az énképre vonatkozó pozitív állítások száma a bemeneti és a kimeneti mérés között</w:t>
      </w:r>
    </w:p>
    <w:p w14:paraId="0ABCCC27" w14:textId="7CA1879E" w:rsidR="00AF0F33" w:rsidRPr="005A3C94" w:rsidRDefault="003C7DAC" w:rsidP="00CF569F">
      <w:pPr>
        <w:pStyle w:val="Cmsor3"/>
        <w:spacing w:line="360" w:lineRule="auto"/>
      </w:pPr>
      <w:bookmarkStart w:id="12" w:name="_Toc437242822"/>
      <w:r w:rsidRPr="005A3C94">
        <w:t>Szociális képességek</w:t>
      </w:r>
      <w:bookmarkEnd w:id="12"/>
    </w:p>
    <w:p w14:paraId="57D91925" w14:textId="5DC2BB44" w:rsidR="00796A46" w:rsidRPr="005A3C94" w:rsidRDefault="00796A46" w:rsidP="00796A46">
      <w:pPr>
        <w:jc w:val="both"/>
        <w:rPr>
          <w:rFonts w:ascii="Times New Roman" w:hAnsi="Times New Roman" w:cs="Times New Roman"/>
          <w:sz w:val="24"/>
          <w:szCs w:val="24"/>
        </w:rPr>
      </w:pPr>
      <w:r w:rsidRPr="005A3C94">
        <w:rPr>
          <w:rFonts w:ascii="Times New Roman" w:hAnsi="Times New Roman" w:cs="Times New Roman"/>
          <w:sz w:val="24"/>
          <w:szCs w:val="24"/>
        </w:rPr>
        <w:t>A szociális képességek változásának vizsgálatakor hasonlóan pozitív tendenciát látunk, mint az énkép esetén. A kísérleti csoport diákjainál ebben az esetben is erősebb a pozit</w:t>
      </w:r>
      <w:r w:rsidR="0061240D" w:rsidRPr="005A3C94">
        <w:rPr>
          <w:rFonts w:ascii="Times New Roman" w:hAnsi="Times New Roman" w:cs="Times New Roman"/>
          <w:sz w:val="24"/>
          <w:szCs w:val="24"/>
        </w:rPr>
        <w:t>ív tendencia.</w:t>
      </w:r>
      <w:r w:rsidRPr="005A3C94">
        <w:rPr>
          <w:rFonts w:ascii="Times New Roman" w:hAnsi="Times New Roman" w:cs="Times New Roman"/>
          <w:sz w:val="24"/>
          <w:szCs w:val="24"/>
        </w:rPr>
        <w:t xml:space="preserve"> </w:t>
      </w:r>
      <w:r w:rsidR="0061240D" w:rsidRPr="005A3C94">
        <w:rPr>
          <w:rFonts w:ascii="Times New Roman" w:hAnsi="Times New Roman" w:cs="Times New Roman"/>
          <w:sz w:val="24"/>
          <w:szCs w:val="24"/>
        </w:rPr>
        <w:t xml:space="preserve">42%-al csökkent azok száma, akik csak 0-6 állítást éreztek rájuk jellemzőnek, és 160%-al nőtt azok száma, akik szinte minden állításra pozitív választ adtak, míg a kontroll csoportban nem csökkent a legalsó csoportba tartozók száma, és 67%-al nőtt azok száma, akik a legtöbb pozitív választ adták. Hozzá kell tenni, hogy a kontroll csoport már a bemeneti méréskor is igen pozitív volt, így ott több volt a 8-9 állítással azonosulni tudó diák a kimeneti méréskor. </w:t>
      </w:r>
    </w:p>
    <w:p w14:paraId="47FF0BB8" w14:textId="77777777" w:rsidR="00027404" w:rsidRPr="005A3C94" w:rsidRDefault="00027404" w:rsidP="00027404">
      <w:pPr>
        <w:pStyle w:val="Listaszerbekezds"/>
        <w:keepNext/>
        <w:spacing w:line="360" w:lineRule="auto"/>
        <w:jc w:val="center"/>
      </w:pPr>
      <w:r w:rsidRPr="005A3C94">
        <w:rPr>
          <w:noProof/>
          <w:lang w:eastAsia="hu-HU"/>
        </w:rPr>
        <w:drawing>
          <wp:inline distT="0" distB="0" distL="0" distR="0" wp14:anchorId="62436F6B" wp14:editId="1603DED1">
            <wp:extent cx="4252822" cy="2320494"/>
            <wp:effectExtent l="0" t="0" r="14605" b="381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27A514" w14:textId="7CAD136D" w:rsidR="00F36911" w:rsidRPr="005A3C94" w:rsidRDefault="00027404" w:rsidP="0061240D">
      <w:pPr>
        <w:pStyle w:val="Kpalrs"/>
        <w:rPr>
          <w:rFonts w:ascii="Times New Roman" w:hAnsi="Times New Roman" w:cs="Times New Roman"/>
          <w:sz w:val="24"/>
          <w:szCs w:val="24"/>
        </w:rPr>
      </w:pPr>
      <w:r w:rsidRPr="005A3C94">
        <w:rPr>
          <w:rFonts w:ascii="Cambria" w:hAnsi="Cambria" w:cs="Times New Roman"/>
        </w:rPr>
        <w:fldChar w:fldCharType="begin"/>
      </w:r>
      <w:r w:rsidRPr="005A3C94">
        <w:rPr>
          <w:rFonts w:ascii="Cambria" w:hAnsi="Cambria" w:cs="Times New Roman"/>
        </w:rPr>
        <w:instrText xml:space="preserve"> SEQ ábra \* ARABIC </w:instrText>
      </w:r>
      <w:r w:rsidRPr="005A3C94">
        <w:rPr>
          <w:rFonts w:ascii="Cambria" w:hAnsi="Cambria" w:cs="Times New Roman"/>
        </w:rPr>
        <w:fldChar w:fldCharType="separate"/>
      </w:r>
      <w:r w:rsidR="00483414" w:rsidRPr="005A3C94">
        <w:rPr>
          <w:rFonts w:ascii="Cambria" w:hAnsi="Cambria" w:cs="Times New Roman"/>
          <w:noProof/>
        </w:rPr>
        <w:t>2</w:t>
      </w:r>
      <w:r w:rsidRPr="005A3C94">
        <w:rPr>
          <w:rFonts w:ascii="Cambria" w:hAnsi="Cambria" w:cs="Times New Roman"/>
        </w:rPr>
        <w:fldChar w:fldCharType="end"/>
      </w:r>
      <w:r w:rsidRPr="005A3C94">
        <w:t>. ábra: A szociális képességekre vonatkozó pozitív állítások száma a kontroll és a kísérleti csoportok szerint a bemeneti és a kimeneti méréskor</w:t>
      </w:r>
    </w:p>
    <w:p w14:paraId="7120CDC6" w14:textId="5D1BEF1E" w:rsidR="00F97F09" w:rsidRPr="005A3C94" w:rsidRDefault="003C7DAC" w:rsidP="003C7DAC">
      <w:pPr>
        <w:pStyle w:val="Cmsor3"/>
      </w:pPr>
      <w:bookmarkStart w:id="13" w:name="_Toc437242823"/>
      <w:r w:rsidRPr="005A3C94">
        <w:t>Empátia</w:t>
      </w:r>
      <w:bookmarkEnd w:id="13"/>
    </w:p>
    <w:p w14:paraId="461813F3" w14:textId="7E1EFB0D" w:rsidR="0061240D" w:rsidRPr="005A3C94" w:rsidRDefault="00776EFB" w:rsidP="0061240D">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Az empátiás képességekkel kapcsolatban, melyet 4 állításon keresztül teszteltünk, nem olyan egyértelmű a kép, mint az előző két vizsgált szempont esetében. </w:t>
      </w:r>
      <w:r w:rsidR="00250E60" w:rsidRPr="005A3C94">
        <w:rPr>
          <w:rFonts w:ascii="Times New Roman" w:hAnsi="Times New Roman" w:cs="Times New Roman"/>
          <w:sz w:val="24"/>
          <w:szCs w:val="24"/>
        </w:rPr>
        <w:t>A kísérleti csoport esetében hárommal csökkent a 2-3 állításra pozitív választ adók száma</w:t>
      </w:r>
      <w:r w:rsidRPr="005A3C94">
        <w:rPr>
          <w:rFonts w:ascii="Times New Roman" w:hAnsi="Times New Roman" w:cs="Times New Roman"/>
          <w:sz w:val="24"/>
          <w:szCs w:val="24"/>
        </w:rPr>
        <w:t xml:space="preserve"> a kimeneti é</w:t>
      </w:r>
      <w:r w:rsidR="00250E60" w:rsidRPr="005A3C94">
        <w:rPr>
          <w:rFonts w:ascii="Times New Roman" w:hAnsi="Times New Roman" w:cs="Times New Roman"/>
          <w:sz w:val="24"/>
          <w:szCs w:val="24"/>
        </w:rPr>
        <w:t>s bemeneti mérés között, és eggyel nőtt a legtöbb, kettővel pedig a legkevesebb pozitív választ adók száma</w:t>
      </w:r>
      <w:r w:rsidRPr="005A3C94">
        <w:rPr>
          <w:rFonts w:ascii="Times New Roman" w:hAnsi="Times New Roman" w:cs="Times New Roman"/>
          <w:sz w:val="24"/>
          <w:szCs w:val="24"/>
        </w:rPr>
        <w:t>. A kísérleti csoportban csökkent mind a maximális, mind a minimális állítást magukra jellemzőnek érzők száma. Az eredmények alapján a kísérleti csoportban lévő diákok empátiája kis mértékben gyengült, a kontroll csoporté pedig szintén elenyésző mértékben, de növekedett.</w:t>
      </w:r>
    </w:p>
    <w:p w14:paraId="7F42DF3C" w14:textId="77777777" w:rsidR="00027404" w:rsidRPr="005A3C94" w:rsidRDefault="00027404" w:rsidP="00027404">
      <w:pPr>
        <w:keepNext/>
        <w:spacing w:line="276" w:lineRule="auto"/>
        <w:jc w:val="center"/>
      </w:pPr>
      <w:r w:rsidRPr="005A3C94">
        <w:rPr>
          <w:noProof/>
          <w:lang w:eastAsia="hu-HU"/>
        </w:rPr>
        <w:drawing>
          <wp:inline distT="0" distB="0" distL="0" distR="0" wp14:anchorId="0D6C3935" wp14:editId="272DACC6">
            <wp:extent cx="4382219" cy="2242868"/>
            <wp:effectExtent l="0" t="0" r="18415" b="508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DC00DC" w14:textId="77A3F485" w:rsidR="00F36911" w:rsidRPr="005A3C94" w:rsidRDefault="00027404" w:rsidP="00776EFB">
      <w:pPr>
        <w:pStyle w:val="Kpalrs"/>
        <w:rPr>
          <w:rFonts w:ascii="Times New Roman" w:hAnsi="Times New Roman" w:cs="Times New Roman"/>
          <w:sz w:val="24"/>
          <w:szCs w:val="24"/>
        </w:rPr>
      </w:pPr>
      <w:r w:rsidRPr="005A3C94">
        <w:rPr>
          <w:rFonts w:ascii="Times New Roman" w:hAnsi="Times New Roman" w:cs="Times New Roman"/>
          <w:sz w:val="24"/>
          <w:szCs w:val="24"/>
        </w:rPr>
        <w:fldChar w:fldCharType="begin"/>
      </w:r>
      <w:r w:rsidRPr="005A3C94">
        <w:rPr>
          <w:rFonts w:ascii="Times New Roman" w:hAnsi="Times New Roman" w:cs="Times New Roman"/>
          <w:sz w:val="24"/>
          <w:szCs w:val="24"/>
        </w:rPr>
        <w:instrText xml:space="preserve"> SEQ ábra \* ARABIC </w:instrText>
      </w:r>
      <w:r w:rsidRPr="005A3C94">
        <w:rPr>
          <w:rFonts w:ascii="Times New Roman" w:hAnsi="Times New Roman" w:cs="Times New Roman"/>
          <w:sz w:val="24"/>
          <w:szCs w:val="24"/>
        </w:rPr>
        <w:fldChar w:fldCharType="separate"/>
      </w:r>
      <w:r w:rsidR="00483414" w:rsidRPr="005A3C94">
        <w:rPr>
          <w:rFonts w:ascii="Times New Roman" w:hAnsi="Times New Roman" w:cs="Times New Roman"/>
          <w:noProof/>
          <w:sz w:val="24"/>
          <w:szCs w:val="24"/>
        </w:rPr>
        <w:t>3</w:t>
      </w:r>
      <w:r w:rsidRPr="005A3C94">
        <w:rPr>
          <w:rFonts w:ascii="Times New Roman" w:hAnsi="Times New Roman" w:cs="Times New Roman"/>
          <w:sz w:val="24"/>
          <w:szCs w:val="24"/>
        </w:rPr>
        <w:fldChar w:fldCharType="end"/>
      </w:r>
      <w:r w:rsidRPr="005A3C94">
        <w:t>. ábra: Az empátiára vonatkozó pozitív állítások száma a kontroll és a kísérleti csoportok szerint a bemeneti és a kimeneti méréskor</w:t>
      </w:r>
    </w:p>
    <w:p w14:paraId="017FF152" w14:textId="6345A08A" w:rsidR="00B71120" w:rsidRPr="005A3C94" w:rsidRDefault="003C7DAC" w:rsidP="003C7DAC">
      <w:pPr>
        <w:pStyle w:val="Cmsor3"/>
      </w:pPr>
      <w:bookmarkStart w:id="14" w:name="_Toc437242824"/>
      <w:r w:rsidRPr="005A3C94">
        <w:t>Tanulási motiváció</w:t>
      </w:r>
      <w:bookmarkEnd w:id="14"/>
    </w:p>
    <w:p w14:paraId="1B57587F" w14:textId="6946A57C" w:rsidR="00130E63" w:rsidRPr="005A3C94" w:rsidRDefault="00130E63" w:rsidP="00130E63">
      <w:pPr>
        <w:jc w:val="both"/>
        <w:rPr>
          <w:rFonts w:ascii="Times New Roman" w:hAnsi="Times New Roman" w:cs="Times New Roman"/>
          <w:sz w:val="24"/>
        </w:rPr>
      </w:pPr>
      <w:r w:rsidRPr="005A3C94">
        <w:rPr>
          <w:rFonts w:ascii="Times New Roman" w:hAnsi="Times New Roman" w:cs="Times New Roman"/>
          <w:sz w:val="24"/>
        </w:rPr>
        <w:t xml:space="preserve">A tanulási motiváció egyértelműen romlott mind a kontroll, mind a kísérleti csoportban, de csak kis mértékben. A kísérleti diákok körében 12,5%-al, a kontroll csoport esetében 8%-al csökkent azon diákok száma, akik </w:t>
      </w:r>
      <w:r w:rsidR="00250E60" w:rsidRPr="005A3C94">
        <w:rPr>
          <w:rFonts w:ascii="Times New Roman" w:hAnsi="Times New Roman" w:cs="Times New Roman"/>
          <w:sz w:val="24"/>
        </w:rPr>
        <w:t>rájuk jellemzőnek éreztek volna 7, vagy akár 10 állítást. A kísérleti csoport esetében csak a legkevesebb állítással azonosulni tudók csoportja nőtt, míg a kontroll csoport esetében mind a 0-4, mind az 5-6 állításra pozitív választ adó diákoké.</w:t>
      </w:r>
    </w:p>
    <w:p w14:paraId="7E04CCD9" w14:textId="77777777" w:rsidR="00027404" w:rsidRPr="005A3C94" w:rsidRDefault="00027404" w:rsidP="00130E63">
      <w:pPr>
        <w:keepNext/>
        <w:spacing w:line="276" w:lineRule="auto"/>
        <w:ind w:left="360"/>
        <w:jc w:val="center"/>
      </w:pPr>
      <w:r w:rsidRPr="005A3C94">
        <w:rPr>
          <w:noProof/>
          <w:lang w:eastAsia="hu-HU"/>
        </w:rPr>
        <w:drawing>
          <wp:inline distT="0" distB="0" distL="0" distR="0" wp14:anchorId="22014B3C" wp14:editId="37F49D98">
            <wp:extent cx="4459857" cy="2441276"/>
            <wp:effectExtent l="0" t="0" r="17145" b="1651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3AFB64" w14:textId="1FCEFE84" w:rsidR="00F86308" w:rsidRPr="005A3C94" w:rsidRDefault="00027404" w:rsidP="00250E60">
      <w:pPr>
        <w:pStyle w:val="Kpalrs"/>
        <w:rPr>
          <w:rFonts w:ascii="Times New Roman" w:hAnsi="Times New Roman" w:cs="Times New Roman"/>
          <w:sz w:val="24"/>
          <w:szCs w:val="24"/>
        </w:rPr>
      </w:pPr>
      <w:r w:rsidRPr="005A3C94">
        <w:rPr>
          <w:rFonts w:ascii="Times New Roman" w:hAnsi="Times New Roman" w:cs="Times New Roman"/>
          <w:sz w:val="24"/>
          <w:szCs w:val="24"/>
        </w:rPr>
        <w:fldChar w:fldCharType="begin"/>
      </w:r>
      <w:r w:rsidRPr="005A3C94">
        <w:rPr>
          <w:rFonts w:ascii="Times New Roman" w:hAnsi="Times New Roman" w:cs="Times New Roman"/>
          <w:sz w:val="24"/>
          <w:szCs w:val="24"/>
        </w:rPr>
        <w:instrText xml:space="preserve"> SEQ ábra \* ARABIC </w:instrText>
      </w:r>
      <w:r w:rsidRPr="005A3C94">
        <w:rPr>
          <w:rFonts w:ascii="Times New Roman" w:hAnsi="Times New Roman" w:cs="Times New Roman"/>
          <w:sz w:val="24"/>
          <w:szCs w:val="24"/>
        </w:rPr>
        <w:fldChar w:fldCharType="separate"/>
      </w:r>
      <w:r w:rsidR="00483414" w:rsidRPr="005A3C94">
        <w:rPr>
          <w:rFonts w:ascii="Times New Roman" w:hAnsi="Times New Roman" w:cs="Times New Roman"/>
          <w:noProof/>
          <w:sz w:val="24"/>
          <w:szCs w:val="24"/>
        </w:rPr>
        <w:t>4</w:t>
      </w:r>
      <w:r w:rsidRPr="005A3C94">
        <w:rPr>
          <w:rFonts w:ascii="Times New Roman" w:hAnsi="Times New Roman" w:cs="Times New Roman"/>
          <w:sz w:val="24"/>
          <w:szCs w:val="24"/>
        </w:rPr>
        <w:fldChar w:fldCharType="end"/>
      </w:r>
      <w:r w:rsidRPr="005A3C94">
        <w:t>. ábra: A tanulási motivációra vonatkozó pozitív állítások száma a kontroll és a kísérleti csoportok szerint a bemeneti és a kimeneti méréskor</w:t>
      </w:r>
    </w:p>
    <w:p w14:paraId="29124EAF" w14:textId="108F8BA0" w:rsidR="003C7DAC" w:rsidRPr="005A3C94" w:rsidRDefault="003C7DAC" w:rsidP="00AB07AD">
      <w:pPr>
        <w:pStyle w:val="Cmsor2"/>
      </w:pPr>
      <w:bookmarkStart w:id="15" w:name="_Toc437242825"/>
      <w:r w:rsidRPr="005A3C94">
        <w:t xml:space="preserve">A szociális </w:t>
      </w:r>
      <w:r w:rsidR="005E3575" w:rsidRPr="005A3C94">
        <w:t xml:space="preserve">helyzet </w:t>
      </w:r>
      <w:r w:rsidRPr="005A3C94">
        <w:t>és a vizsgált jegyek összefüggése</w:t>
      </w:r>
      <w:bookmarkEnd w:id="15"/>
    </w:p>
    <w:p w14:paraId="3FE714B3" w14:textId="76C92C97" w:rsidR="00F4610D" w:rsidRPr="005A3C94" w:rsidRDefault="00164242" w:rsidP="00F4610D">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 bemeneti vizsgálat során </w:t>
      </w:r>
      <w:r w:rsidR="00F4610D" w:rsidRPr="005A3C94">
        <w:rPr>
          <w:rFonts w:ascii="Times New Roman" w:hAnsi="Times New Roman" w:cs="Times New Roman"/>
          <w:sz w:val="24"/>
          <w:szCs w:val="24"/>
        </w:rPr>
        <w:t>feltérképeztük a diákok</w:t>
      </w:r>
      <w:r w:rsidRPr="005A3C94">
        <w:rPr>
          <w:rFonts w:ascii="Times New Roman" w:hAnsi="Times New Roman" w:cs="Times New Roman"/>
          <w:sz w:val="24"/>
          <w:szCs w:val="24"/>
        </w:rPr>
        <w:t xml:space="preserve"> szociális helyze</w:t>
      </w:r>
      <w:r w:rsidR="00F4610D" w:rsidRPr="005A3C94">
        <w:rPr>
          <w:rFonts w:ascii="Times New Roman" w:hAnsi="Times New Roman" w:cs="Times New Roman"/>
          <w:sz w:val="24"/>
          <w:szCs w:val="24"/>
        </w:rPr>
        <w:t xml:space="preserve">tét, így lehetővé vált, hogy az előző fejezetben bemutatott szempontokat a tanulók jövedelmi helyzete alapján képzett alcsoportokon is vizsgálni tudjuk. Ez azért fontos, mert pontosabb képet ad a program hatásáról, ha nem csak a teljes csoportra kifejtett átlagos eredményekkel vagyunk tisztában, hanem olyan kérdésekre is válaszolni tudunk, hogy sikerült-e növelni a legszerényebb körülmények közül jövő diákok tanulási motivációját, matematika eredményét, vagy a </w:t>
      </w:r>
      <w:proofErr w:type="spellStart"/>
      <w:r w:rsidR="00F4610D" w:rsidRPr="005A3C94">
        <w:rPr>
          <w:rFonts w:ascii="Times New Roman" w:hAnsi="Times New Roman" w:cs="Times New Roman"/>
          <w:sz w:val="24"/>
          <w:szCs w:val="24"/>
        </w:rPr>
        <w:t>legjómódúbb</w:t>
      </w:r>
      <w:proofErr w:type="spellEnd"/>
      <w:r w:rsidR="00F4610D" w:rsidRPr="005A3C94">
        <w:rPr>
          <w:rFonts w:ascii="Times New Roman" w:hAnsi="Times New Roman" w:cs="Times New Roman"/>
          <w:sz w:val="24"/>
          <w:szCs w:val="24"/>
        </w:rPr>
        <w:t xml:space="preserve"> diákok empátiáját.</w:t>
      </w:r>
    </w:p>
    <w:p w14:paraId="1EC09A23" w14:textId="3E14CDA4" w:rsidR="00F4610D" w:rsidRPr="005A3C94" w:rsidRDefault="00F4610D" w:rsidP="00F4610D">
      <w:pPr>
        <w:pStyle w:val="Cmsor3"/>
      </w:pPr>
      <w:bookmarkStart w:id="16" w:name="_Toc437242826"/>
      <w:r w:rsidRPr="005A3C94">
        <w:t>Módszertan</w:t>
      </w:r>
      <w:bookmarkEnd w:id="16"/>
    </w:p>
    <w:p w14:paraId="196371FC" w14:textId="7BECAA91" w:rsidR="00F4610D" w:rsidRPr="005A3C94" w:rsidRDefault="00F4610D" w:rsidP="00F4610D">
      <w:pPr>
        <w:pStyle w:val="Cmsor4"/>
      </w:pPr>
      <w:r w:rsidRPr="005A3C94">
        <w:t>Szociális helyzet</w:t>
      </w:r>
    </w:p>
    <w:p w14:paraId="28C517C0" w14:textId="19DBBE49" w:rsidR="000062A0" w:rsidRPr="005A3C94" w:rsidRDefault="00F4610D" w:rsidP="00F4610D">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A szociális helyzet feltérképezése során r</w:t>
      </w:r>
      <w:r w:rsidR="00164242" w:rsidRPr="005A3C94">
        <w:rPr>
          <w:rFonts w:ascii="Times New Roman" w:hAnsi="Times New Roman" w:cs="Times New Roman"/>
          <w:sz w:val="24"/>
          <w:szCs w:val="24"/>
        </w:rPr>
        <w:t xml:space="preserve">ákérdeztünk, hogy a családnak milyen tárgyai vannak (összesen ötöt soroltunk fel) és azt, hogy a diáknak személyesen hány tárgya van (négyet soroltunk fel). </w:t>
      </w:r>
      <w:r w:rsidR="000062A0" w:rsidRPr="005A3C94">
        <w:rPr>
          <w:rFonts w:ascii="Times New Roman" w:hAnsi="Times New Roman" w:cs="Times New Roman"/>
          <w:sz w:val="24"/>
          <w:szCs w:val="24"/>
        </w:rPr>
        <w:t>Nem alkalmaztuk a más kutatásokban szokásos 13-15 elemű hosszú tárgylistát, előzetes információink alapján ugyanis az iskolákba járó gyerekek többsége nehéz</w:t>
      </w:r>
      <w:r w:rsidR="0054180F" w:rsidRPr="005A3C94">
        <w:rPr>
          <w:rFonts w:ascii="Times New Roman" w:hAnsi="Times New Roman" w:cs="Times New Roman"/>
          <w:sz w:val="24"/>
          <w:szCs w:val="24"/>
        </w:rPr>
        <w:t xml:space="preserve"> szociális</w:t>
      </w:r>
      <w:r w:rsidR="000062A0" w:rsidRPr="005A3C94">
        <w:rPr>
          <w:rFonts w:ascii="Times New Roman" w:hAnsi="Times New Roman" w:cs="Times New Roman"/>
          <w:sz w:val="24"/>
          <w:szCs w:val="24"/>
        </w:rPr>
        <w:t xml:space="preserve"> helyzetű családból érkezett. A család esetén a számítógép, a személygépkocsi, a mosógép, a mosogatógép és a nyaraló meglétét kérdeztük meg. A </w:t>
      </w:r>
      <w:r w:rsidRPr="005A3C94">
        <w:rPr>
          <w:rFonts w:ascii="Times New Roman" w:hAnsi="Times New Roman" w:cs="Times New Roman"/>
          <w:sz w:val="24"/>
          <w:szCs w:val="24"/>
        </w:rPr>
        <w:t>diákok</w:t>
      </w:r>
      <w:r w:rsidR="000062A0" w:rsidRPr="005A3C94">
        <w:rPr>
          <w:rFonts w:ascii="Times New Roman" w:hAnsi="Times New Roman" w:cs="Times New Roman"/>
          <w:sz w:val="24"/>
          <w:szCs w:val="24"/>
        </w:rPr>
        <w:t xml:space="preserve"> esetén a saját szobára, a saját íróasztalra, a saját mobiltelefonra és a saját biciklire kérdeztünk rá. Mint látható, egyik kérdéskategória esetében sem különösebben drága eszközök meglétét/hiányát vizsgáltuk. Például egy gyerek esetében az íróasztal hiánya súlyos </w:t>
      </w:r>
      <w:proofErr w:type="spellStart"/>
      <w:r w:rsidR="000062A0" w:rsidRPr="005A3C94">
        <w:rPr>
          <w:rFonts w:ascii="Times New Roman" w:hAnsi="Times New Roman" w:cs="Times New Roman"/>
          <w:sz w:val="24"/>
          <w:szCs w:val="24"/>
        </w:rPr>
        <w:t>deprivációra</w:t>
      </w:r>
      <w:proofErr w:type="spellEnd"/>
      <w:r w:rsidR="000062A0" w:rsidRPr="005A3C94">
        <w:rPr>
          <w:rFonts w:ascii="Times New Roman" w:hAnsi="Times New Roman" w:cs="Times New Roman"/>
          <w:sz w:val="24"/>
          <w:szCs w:val="24"/>
        </w:rPr>
        <w:t xml:space="preserve"> utalhat, ez ugyanis elengedhetetlen tárgyi feltétele a tanulásnak. </w:t>
      </w:r>
    </w:p>
    <w:p w14:paraId="09A803AE" w14:textId="2C2CE6F6" w:rsidR="00164242" w:rsidRPr="005A3C94" w:rsidRDefault="00164242" w:rsidP="008C67D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 tárgyi ellátottság reprezentálja a család szociális helyzetét. Minél több tárggyal rendelkezik egy adott család és a családhoz tartozó gyerek, annál jobb módúak. </w:t>
      </w:r>
      <w:r w:rsidR="00556C98" w:rsidRPr="005A3C94">
        <w:rPr>
          <w:rFonts w:ascii="Times New Roman" w:hAnsi="Times New Roman" w:cs="Times New Roman"/>
          <w:sz w:val="24"/>
          <w:szCs w:val="24"/>
        </w:rPr>
        <w:t xml:space="preserve">Az elemzés érdekében összevonásokat végeztünk. A családi ellátottság esetében törekedtünk arra, hogy minden egyes csoport a családok negyedét reprezentálja, míg a személyes ellátottság esetén a gyerekek harmadát. </w:t>
      </w:r>
    </w:p>
    <w:p w14:paraId="41587F80" w14:textId="4F35B8B5" w:rsidR="00F4610D" w:rsidRPr="005A3C94" w:rsidRDefault="00F4610D" w:rsidP="00F4610D">
      <w:pPr>
        <w:pStyle w:val="Cmsor4"/>
      </w:pPr>
      <w:r w:rsidRPr="005A3C94">
        <w:t>Standardizált eredmények</w:t>
      </w:r>
    </w:p>
    <w:p w14:paraId="2004AAF4" w14:textId="4FF334FD" w:rsidR="00F4610D" w:rsidRPr="005A3C94" w:rsidRDefault="00F4610D" w:rsidP="00F4610D">
      <w:pPr>
        <w:jc w:val="both"/>
        <w:rPr>
          <w:rFonts w:ascii="Times New Roman" w:hAnsi="Times New Roman" w:cs="Times New Roman"/>
          <w:sz w:val="24"/>
          <w:szCs w:val="24"/>
        </w:rPr>
      </w:pPr>
      <w:r w:rsidRPr="005A3C94">
        <w:rPr>
          <w:rFonts w:ascii="Times New Roman" w:hAnsi="Times New Roman" w:cs="Times New Roman"/>
          <w:sz w:val="24"/>
          <w:szCs w:val="24"/>
        </w:rPr>
        <w:t xml:space="preserve">A következő alfejezetekben az áll a vizsgálatok középpontjában, hogy a diákok hány pozitív választ adtak, amikor az énképükről, vagy az empátiás képességükről nyilatkoztak </w:t>
      </w:r>
      <w:r w:rsidR="009E4F2E">
        <w:rPr>
          <w:rFonts w:ascii="Times New Roman" w:hAnsi="Times New Roman" w:cs="Times New Roman"/>
          <w:sz w:val="24"/>
          <w:szCs w:val="24"/>
        </w:rPr>
        <w:t xml:space="preserve">különböző </w:t>
      </w:r>
      <w:r w:rsidRPr="005A3C94">
        <w:rPr>
          <w:rFonts w:ascii="Times New Roman" w:hAnsi="Times New Roman" w:cs="Times New Roman"/>
          <w:sz w:val="24"/>
          <w:szCs w:val="24"/>
        </w:rPr>
        <w:t>állítások értékelésén keresztül, illetve hogy hány jól, rosszul, vagy nem megoldott matematika, és szövegértési feladatuk volt a bementi és kimeneti méréskor. A könnyebb összehasonlíthatóság érdekében az eredményeket legtöbbször standardizált formában mutatjuk be.</w:t>
      </w:r>
    </w:p>
    <w:p w14:paraId="6C136B01" w14:textId="15FFF648" w:rsidR="00F4610D" w:rsidRPr="005A3C94" w:rsidRDefault="009E4F2E" w:rsidP="00F4610D">
      <w:pPr>
        <w:jc w:val="both"/>
        <w:rPr>
          <w:rFonts w:ascii="Times New Roman" w:hAnsi="Times New Roman" w:cs="Times New Roman"/>
          <w:sz w:val="24"/>
          <w:szCs w:val="24"/>
        </w:rPr>
      </w:pPr>
      <w:r>
        <w:rPr>
          <w:rFonts w:ascii="Times New Roman" w:hAnsi="Times New Roman" w:cs="Times New Roman"/>
          <w:sz w:val="24"/>
          <w:szCs w:val="24"/>
        </w:rPr>
        <w:t>Egy példán keresztül, a standardizálás</w:t>
      </w:r>
      <w:r w:rsidR="00F4610D" w:rsidRPr="005A3C94">
        <w:rPr>
          <w:rFonts w:ascii="Times New Roman" w:hAnsi="Times New Roman" w:cs="Times New Roman"/>
          <w:sz w:val="24"/>
          <w:szCs w:val="24"/>
        </w:rPr>
        <w:t xml:space="preserve"> a</w:t>
      </w:r>
      <w:r>
        <w:rPr>
          <w:rFonts w:ascii="Times New Roman" w:hAnsi="Times New Roman" w:cs="Times New Roman"/>
          <w:sz w:val="24"/>
          <w:szCs w:val="24"/>
        </w:rPr>
        <w:t>zt jelenti, hogy megnéztük,</w:t>
      </w:r>
      <w:r w:rsidR="00F4610D" w:rsidRPr="005A3C94">
        <w:rPr>
          <w:rFonts w:ascii="Times New Roman" w:hAnsi="Times New Roman" w:cs="Times New Roman"/>
          <w:sz w:val="24"/>
          <w:szCs w:val="24"/>
        </w:rPr>
        <w:t xml:space="preserve"> a bementi méréskor az egyes diákok hány esetben adtak jó választ a matematika kérdéssorban. Ezeket az értékeket</w:t>
      </w:r>
      <w:r>
        <w:rPr>
          <w:rFonts w:ascii="Times New Roman" w:hAnsi="Times New Roman" w:cs="Times New Roman"/>
          <w:sz w:val="24"/>
          <w:szCs w:val="24"/>
        </w:rPr>
        <w:t xml:space="preserve"> összegeztük, majd</w:t>
      </w:r>
      <w:r w:rsidR="00F4610D" w:rsidRPr="005A3C94">
        <w:rPr>
          <w:rFonts w:ascii="Times New Roman" w:hAnsi="Times New Roman" w:cs="Times New Roman"/>
          <w:sz w:val="24"/>
          <w:szCs w:val="24"/>
        </w:rPr>
        <w:t xml:space="preserve"> standardizáltuk, azaz áttranszformáltuk úgy, hogy nulla legyen az átlaguk, és maximum plusz egy, minimum mínusz egy értéket vehessenek fel. Azaz, ha a standardizált értékek között mínusz számot lát</w:t>
      </w:r>
      <w:r>
        <w:rPr>
          <w:rFonts w:ascii="Times New Roman" w:hAnsi="Times New Roman" w:cs="Times New Roman"/>
          <w:sz w:val="24"/>
          <w:szCs w:val="24"/>
        </w:rPr>
        <w:t>unk, az azt jelenti, hogy egy csoport</w:t>
      </w:r>
      <w:r w:rsidR="00F4610D" w:rsidRPr="005A3C94">
        <w:rPr>
          <w:rFonts w:ascii="Times New Roman" w:hAnsi="Times New Roman" w:cs="Times New Roman"/>
          <w:sz w:val="24"/>
          <w:szCs w:val="24"/>
        </w:rPr>
        <w:t xml:space="preserve"> az átlagnál kevesebb jó választ adott, és fordítva, a pozití</w:t>
      </w:r>
      <w:r>
        <w:rPr>
          <w:rFonts w:ascii="Times New Roman" w:hAnsi="Times New Roman" w:cs="Times New Roman"/>
          <w:sz w:val="24"/>
          <w:szCs w:val="24"/>
        </w:rPr>
        <w:t>v érték azt jelenti, hogy</w:t>
      </w:r>
      <w:r w:rsidR="00F4610D" w:rsidRPr="005A3C94">
        <w:rPr>
          <w:rFonts w:ascii="Times New Roman" w:hAnsi="Times New Roman" w:cs="Times New Roman"/>
          <w:sz w:val="24"/>
          <w:szCs w:val="24"/>
        </w:rPr>
        <w:t xml:space="preserve"> </w:t>
      </w:r>
      <w:r>
        <w:rPr>
          <w:rFonts w:ascii="Times New Roman" w:hAnsi="Times New Roman" w:cs="Times New Roman"/>
          <w:sz w:val="24"/>
          <w:szCs w:val="24"/>
        </w:rPr>
        <w:t xml:space="preserve">a tanulók </w:t>
      </w:r>
      <w:r w:rsidR="00F4610D" w:rsidRPr="005A3C94">
        <w:rPr>
          <w:rFonts w:ascii="Times New Roman" w:hAnsi="Times New Roman" w:cs="Times New Roman"/>
          <w:sz w:val="24"/>
          <w:szCs w:val="24"/>
        </w:rPr>
        <w:t>az átlagnál jobban teljesített</w:t>
      </w:r>
      <w:r>
        <w:rPr>
          <w:rFonts w:ascii="Times New Roman" w:hAnsi="Times New Roman" w:cs="Times New Roman"/>
          <w:sz w:val="24"/>
          <w:szCs w:val="24"/>
        </w:rPr>
        <w:t>ek</w:t>
      </w:r>
      <w:r w:rsidR="00F4610D" w:rsidRPr="005A3C94">
        <w:rPr>
          <w:rFonts w:ascii="Times New Roman" w:hAnsi="Times New Roman" w:cs="Times New Roman"/>
          <w:sz w:val="24"/>
          <w:szCs w:val="24"/>
        </w:rPr>
        <w:t>. Vagy hasonlóan, ha pozitív értéket látunk a szociális képességek elemzésekor, az azt jelenti, hogy a diákok vizsgált csoportja az átlagnál több állítással tudott azonosulni. A standardizálást külön végeztük el a bemeneti és kimeneti eredmények csoportján.</w:t>
      </w:r>
    </w:p>
    <w:p w14:paraId="44778089" w14:textId="73BE7498" w:rsidR="00F4610D" w:rsidRPr="005A3C94" w:rsidRDefault="00F4610D" w:rsidP="00F4610D">
      <w:pPr>
        <w:jc w:val="both"/>
        <w:rPr>
          <w:rFonts w:ascii="Times New Roman" w:hAnsi="Times New Roman" w:cs="Times New Roman"/>
          <w:sz w:val="24"/>
          <w:szCs w:val="24"/>
        </w:rPr>
      </w:pPr>
      <w:r w:rsidRPr="005A3C94">
        <w:rPr>
          <w:rFonts w:ascii="Times New Roman" w:hAnsi="Times New Roman" w:cs="Times New Roman"/>
          <w:sz w:val="24"/>
          <w:szCs w:val="24"/>
        </w:rPr>
        <w:t>Az elemzés fókuszában nem maguk a standardizált eredmények állnak, hanem ezek mozgása a bemeneti és kimeneti mérés között. A pozitív változást zölddel, a negatívat pirossal jelöltük a kimeneti er</w:t>
      </w:r>
      <w:r w:rsidR="00894105">
        <w:rPr>
          <w:rFonts w:ascii="Times New Roman" w:hAnsi="Times New Roman" w:cs="Times New Roman"/>
          <w:sz w:val="24"/>
          <w:szCs w:val="24"/>
        </w:rPr>
        <w:t>edményeket bemutató táblázatban, az 50%-nál kisebb változás esetén színtelenül hagytuk a cellát.</w:t>
      </w:r>
    </w:p>
    <w:p w14:paraId="7453971D" w14:textId="45D91B50" w:rsidR="00080962" w:rsidRPr="005A3C94" w:rsidRDefault="00080962" w:rsidP="00080962">
      <w:pPr>
        <w:pStyle w:val="Cmsor4"/>
      </w:pPr>
      <w:r w:rsidRPr="005A3C94">
        <w:t>Összevetés korábbi eredményekkel</w:t>
      </w:r>
    </w:p>
    <w:p w14:paraId="34F99591" w14:textId="656F198D" w:rsidR="00080962" w:rsidRPr="005A3C94" w:rsidRDefault="00080962" w:rsidP="00732D5B">
      <w:pPr>
        <w:jc w:val="both"/>
        <w:rPr>
          <w:rFonts w:ascii="Times New Roman" w:hAnsi="Times New Roman" w:cs="Times New Roman"/>
          <w:sz w:val="24"/>
          <w:szCs w:val="24"/>
        </w:rPr>
      </w:pPr>
      <w:r w:rsidRPr="005A3C94">
        <w:rPr>
          <w:rFonts w:ascii="Times New Roman" w:hAnsi="Times New Roman" w:cs="Times New Roman"/>
          <w:sz w:val="24"/>
          <w:szCs w:val="24"/>
        </w:rPr>
        <w:t xml:space="preserve">Ahhoz, hogy eredményeinket kontextusban lássuk, viszonyítani tudjuk a közelmúltban készült hazai felmérések eredményeihez, </w:t>
      </w:r>
      <w:r w:rsidR="00732D5B" w:rsidRPr="005A3C94">
        <w:rPr>
          <w:rFonts w:ascii="Times New Roman" w:hAnsi="Times New Roman" w:cs="Times New Roman"/>
          <w:sz w:val="24"/>
          <w:szCs w:val="24"/>
        </w:rPr>
        <w:t xml:space="preserve">több kutatás eredményeit is bemutatjuk az egyes </w:t>
      </w:r>
      <w:proofErr w:type="spellStart"/>
      <w:r w:rsidR="00732D5B" w:rsidRPr="005A3C94">
        <w:rPr>
          <w:rFonts w:ascii="Times New Roman" w:hAnsi="Times New Roman" w:cs="Times New Roman"/>
          <w:sz w:val="24"/>
          <w:szCs w:val="24"/>
        </w:rPr>
        <w:t>alrészeknél</w:t>
      </w:r>
      <w:proofErr w:type="spellEnd"/>
      <w:r w:rsidR="00732D5B" w:rsidRPr="005A3C94">
        <w:rPr>
          <w:rFonts w:ascii="Times New Roman" w:hAnsi="Times New Roman" w:cs="Times New Roman"/>
          <w:sz w:val="24"/>
          <w:szCs w:val="24"/>
        </w:rPr>
        <w:t>.</w:t>
      </w:r>
    </w:p>
    <w:p w14:paraId="4104A5D8" w14:textId="18E9DE13" w:rsidR="00732D5B" w:rsidRPr="005A3C94" w:rsidRDefault="00732D5B" w:rsidP="00732D5B">
      <w:pPr>
        <w:jc w:val="both"/>
        <w:rPr>
          <w:rFonts w:ascii="Times New Roman" w:hAnsi="Times New Roman" w:cs="Times New Roman"/>
          <w:sz w:val="24"/>
        </w:rPr>
      </w:pPr>
      <w:r w:rsidRPr="005A3C94">
        <w:rPr>
          <w:rFonts w:ascii="Times New Roman" w:hAnsi="Times New Roman" w:cs="Times New Roman"/>
          <w:sz w:val="24"/>
          <w:szCs w:val="24"/>
        </w:rPr>
        <w:t xml:space="preserve">A szociális attitűdök és kompetenciák vizsgálatakor a </w:t>
      </w:r>
      <w:proofErr w:type="spellStart"/>
      <w:r w:rsidRPr="005A3C94">
        <w:rPr>
          <w:rFonts w:ascii="Times New Roman" w:hAnsi="Times New Roman" w:cs="Times New Roman"/>
          <w:sz w:val="24"/>
          <w:szCs w:val="24"/>
        </w:rPr>
        <w:t>T-Tudok</w:t>
      </w:r>
      <w:proofErr w:type="spellEnd"/>
      <w:r w:rsidRPr="005A3C94">
        <w:rPr>
          <w:rFonts w:ascii="Times New Roman" w:hAnsi="Times New Roman" w:cs="Times New Roman"/>
          <w:sz w:val="24"/>
          <w:szCs w:val="24"/>
        </w:rPr>
        <w:t xml:space="preserve"> </w:t>
      </w:r>
      <w:proofErr w:type="spellStart"/>
      <w:r w:rsidRPr="005A3C94">
        <w:rPr>
          <w:rFonts w:ascii="Times New Roman" w:hAnsi="Times New Roman" w:cs="Times New Roman"/>
          <w:sz w:val="24"/>
          <w:szCs w:val="24"/>
        </w:rPr>
        <w:t>Zrt</w:t>
      </w:r>
      <w:proofErr w:type="spellEnd"/>
      <w:r w:rsidRPr="005A3C94">
        <w:rPr>
          <w:rFonts w:ascii="Times New Roman" w:hAnsi="Times New Roman" w:cs="Times New Roman"/>
          <w:sz w:val="24"/>
          <w:szCs w:val="24"/>
        </w:rPr>
        <w:t>. 2014-es, a Kreatív Partnerség pilot programjában résztvevő iskolák hetedik osztályos diákjaival készített tesztjeit, és az Oktatáskutató és Fejlesztő Intézet</w:t>
      </w:r>
      <w:r w:rsidR="009E4F2E">
        <w:rPr>
          <w:rFonts w:ascii="Times New Roman" w:hAnsi="Times New Roman" w:cs="Times New Roman"/>
          <w:sz w:val="24"/>
          <w:szCs w:val="24"/>
        </w:rPr>
        <w:t>,</w:t>
      </w:r>
      <w:r w:rsidRPr="005A3C94">
        <w:rPr>
          <w:rFonts w:ascii="Times New Roman" w:hAnsi="Times New Roman" w:cs="Times New Roman"/>
          <w:sz w:val="24"/>
        </w:rPr>
        <w:t xml:space="preserve"> az egész napos iskolák nevelési-oktatási program fejlesztéseihez kapcsolódó hatásvizsgálatát vettük alapul.</w:t>
      </w:r>
    </w:p>
    <w:p w14:paraId="1378A1A0" w14:textId="11004FE3" w:rsidR="00732D5B" w:rsidRPr="005A3C94" w:rsidRDefault="00E623F7" w:rsidP="00732D5B">
      <w:pPr>
        <w:jc w:val="both"/>
        <w:rPr>
          <w:rFonts w:ascii="Times New Roman" w:hAnsi="Times New Roman" w:cs="Times New Roman"/>
          <w:sz w:val="28"/>
          <w:szCs w:val="24"/>
        </w:rPr>
      </w:pPr>
      <w:r w:rsidRPr="005A3C94">
        <w:rPr>
          <w:rFonts w:ascii="Times New Roman" w:hAnsi="Times New Roman" w:cs="Times New Roman"/>
          <w:sz w:val="24"/>
        </w:rPr>
        <w:t>Az olvasási képesség kiépültségét az Oktatási Hivatal által 2012-ben készített negyedik osztályosok körében végzett Országos Készség- és Képességmérés eredményeihez hasonlítjuk.</w:t>
      </w:r>
    </w:p>
    <w:p w14:paraId="1DA0BCF1" w14:textId="4FEAE2DA" w:rsidR="00F4610D" w:rsidRPr="005A3C94" w:rsidRDefault="004A58D5" w:rsidP="004A58D5">
      <w:pPr>
        <w:pStyle w:val="Cmsor3"/>
        <w:rPr>
          <w:bCs/>
          <w:iCs/>
        </w:rPr>
      </w:pPr>
      <w:r w:rsidRPr="005A3C94">
        <w:rPr>
          <w:bCs/>
          <w:iCs/>
        </w:rPr>
        <w:t>F</w:t>
      </w:r>
      <w:r w:rsidR="00964699" w:rsidRPr="005A3C94">
        <w:rPr>
          <w:bCs/>
          <w:iCs/>
        </w:rPr>
        <w:t>ő eredmények</w:t>
      </w:r>
    </w:p>
    <w:p w14:paraId="47C51C6E" w14:textId="6FE07E93" w:rsidR="00732D5B" w:rsidRPr="005A3C94" w:rsidRDefault="00732D5B" w:rsidP="00F4610D">
      <w:pPr>
        <w:jc w:val="both"/>
        <w:rPr>
          <w:rFonts w:ascii="Times New Roman" w:hAnsi="Times New Roman" w:cs="Times New Roman"/>
          <w:i/>
          <w:sz w:val="24"/>
          <w:szCs w:val="24"/>
        </w:rPr>
      </w:pPr>
      <w:r w:rsidRPr="005A3C94">
        <w:rPr>
          <w:rStyle w:val="Cmsor4Char"/>
          <w:rFonts w:ascii="Times New Roman" w:hAnsi="Times New Roman" w:cs="Times New Roman"/>
          <w:i w:val="0"/>
          <w:color w:val="auto"/>
        </w:rPr>
        <w:t>Szociális attitűdök, kompetenciák</w:t>
      </w:r>
    </w:p>
    <w:p w14:paraId="059D0153" w14:textId="4FC93BED" w:rsidR="00964699" w:rsidRPr="005A3C94" w:rsidRDefault="00964699" w:rsidP="00E623F7">
      <w:pPr>
        <w:pStyle w:val="Listaszerbekezds"/>
        <w:numPr>
          <w:ilvl w:val="0"/>
          <w:numId w:val="31"/>
        </w:numPr>
        <w:jc w:val="both"/>
      </w:pPr>
      <w:r w:rsidRPr="005A3C94">
        <w:rPr>
          <w:rFonts w:ascii="Times New Roman" w:hAnsi="Times New Roman" w:cs="Times New Roman"/>
          <w:sz w:val="24"/>
          <w:szCs w:val="24"/>
        </w:rPr>
        <w:t>A legalacsonyabb jö</w:t>
      </w:r>
      <w:r w:rsidR="00C8279E" w:rsidRPr="005A3C94">
        <w:rPr>
          <w:rFonts w:ascii="Times New Roman" w:hAnsi="Times New Roman" w:cs="Times New Roman"/>
          <w:sz w:val="24"/>
          <w:szCs w:val="24"/>
        </w:rPr>
        <w:t xml:space="preserve">vedelmi csoportot kivéve, </w:t>
      </w:r>
      <w:r w:rsidRPr="005A3C94">
        <w:rPr>
          <w:rFonts w:ascii="Times New Roman" w:hAnsi="Times New Roman" w:cs="Times New Roman"/>
          <w:sz w:val="24"/>
          <w:szCs w:val="24"/>
        </w:rPr>
        <w:t>a Kreatív Partnerség pilot programnak szignifikáns pozitív hatása volt a résztvevő diákok önértékelésére, énképére</w:t>
      </w:r>
      <w:bookmarkStart w:id="17" w:name="_Toc437242827"/>
    </w:p>
    <w:p w14:paraId="0A2167B9" w14:textId="1DEECEA6" w:rsidR="00964699" w:rsidRPr="005A3C94" w:rsidRDefault="00964699" w:rsidP="00E623F7">
      <w:pPr>
        <w:pStyle w:val="Listaszerbekezds"/>
        <w:numPr>
          <w:ilvl w:val="0"/>
          <w:numId w:val="31"/>
        </w:numPr>
        <w:jc w:val="both"/>
        <w:rPr>
          <w:rFonts w:asciiTheme="majorHAnsi" w:eastAsiaTheme="majorEastAsia" w:hAnsiTheme="majorHAnsi" w:cstheme="majorBidi"/>
          <w:color w:val="1F4D78" w:themeColor="accent1" w:themeShade="7F"/>
          <w:sz w:val="24"/>
          <w:szCs w:val="24"/>
        </w:rPr>
      </w:pPr>
      <w:r w:rsidRPr="005A3C94">
        <w:rPr>
          <w:rFonts w:ascii="Times New Roman" w:hAnsi="Times New Roman" w:cs="Times New Roman"/>
          <w:sz w:val="24"/>
          <w:szCs w:val="24"/>
        </w:rPr>
        <w:t>Mind a kontroll, mind a kísérleti csoportban csökkent a jómódú diákok empátiás képessége. A kísérleti csoportban a legszerényebb háttérből származó diákok empátiás képessége is csökkent, ami tovább mélyítheti a két csoport között lévő különbségeket</w:t>
      </w:r>
    </w:p>
    <w:p w14:paraId="4F4DB86A" w14:textId="1718769D" w:rsidR="00964699" w:rsidRPr="005A3C94" w:rsidRDefault="00964699" w:rsidP="00964699">
      <w:pPr>
        <w:pStyle w:val="Listaszerbekezds"/>
        <w:numPr>
          <w:ilvl w:val="0"/>
          <w:numId w:val="31"/>
        </w:num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A programban való részvétel pozitív hatással volt a jómódú diákok tanulási motivációjára, de nem fejtett ki hatást a legszegényebb diákok körében</w:t>
      </w:r>
    </w:p>
    <w:p w14:paraId="3446DF3C" w14:textId="2AFC012B" w:rsidR="00964699" w:rsidRPr="005A3C94" w:rsidRDefault="00964699" w:rsidP="00E623F7">
      <w:pPr>
        <w:pStyle w:val="Listaszerbekezds"/>
        <w:numPr>
          <w:ilvl w:val="0"/>
          <w:numId w:val="31"/>
        </w:numPr>
        <w:spacing w:line="276" w:lineRule="auto"/>
        <w:jc w:val="both"/>
        <w:rPr>
          <w:rFonts w:asciiTheme="majorHAnsi" w:eastAsiaTheme="majorEastAsia" w:hAnsiTheme="majorHAnsi" w:cstheme="majorBidi"/>
          <w:sz w:val="24"/>
          <w:szCs w:val="24"/>
        </w:rPr>
      </w:pPr>
      <w:r w:rsidRPr="005A3C94">
        <w:rPr>
          <w:rFonts w:ascii="Times New Roman" w:hAnsi="Times New Roman" w:cs="Times New Roman"/>
          <w:sz w:val="24"/>
          <w:szCs w:val="24"/>
        </w:rPr>
        <w:t>Minél jobb körülmények között élnek a diákok, annál hajlamosabbak pozitív válaszokat adni</w:t>
      </w:r>
    </w:p>
    <w:p w14:paraId="3D6F72AC" w14:textId="4F007DC6" w:rsidR="00080962" w:rsidRPr="005A3C94" w:rsidRDefault="00080962" w:rsidP="00E623F7">
      <w:pPr>
        <w:pStyle w:val="Listaszerbekezds"/>
        <w:numPr>
          <w:ilvl w:val="0"/>
          <w:numId w:val="31"/>
        </w:numPr>
        <w:spacing w:line="276" w:lineRule="auto"/>
        <w:jc w:val="both"/>
        <w:rPr>
          <w:rFonts w:asciiTheme="majorHAnsi" w:eastAsiaTheme="majorEastAsia" w:hAnsiTheme="majorHAnsi" w:cstheme="majorBidi"/>
          <w:sz w:val="24"/>
          <w:szCs w:val="24"/>
        </w:rPr>
      </w:pPr>
      <w:r w:rsidRPr="005A3C94">
        <w:rPr>
          <w:rFonts w:ascii="Times New Roman" w:hAnsi="Times New Roman" w:cs="Times New Roman"/>
          <w:sz w:val="24"/>
          <w:szCs w:val="24"/>
        </w:rPr>
        <w:t xml:space="preserve">Az összehasonlítási alapul szolgáló két 2014-es alapján azt látjuk, hogy a </w:t>
      </w:r>
      <w:proofErr w:type="spellStart"/>
      <w:r w:rsidRPr="005A3C94">
        <w:rPr>
          <w:rFonts w:ascii="Times New Roman" w:hAnsi="Times New Roman" w:cs="Times New Roman"/>
          <w:sz w:val="24"/>
          <w:szCs w:val="24"/>
        </w:rPr>
        <w:t>jobbmódú</w:t>
      </w:r>
      <w:proofErr w:type="spellEnd"/>
      <w:r w:rsidRPr="005A3C94">
        <w:rPr>
          <w:rFonts w:ascii="Times New Roman" w:hAnsi="Times New Roman" w:cs="Times New Roman"/>
          <w:sz w:val="24"/>
          <w:szCs w:val="24"/>
        </w:rPr>
        <w:t xml:space="preserve"> diákok átlagosan pozitívabb önképpel, és nagyobb tanulási motivációval, ám kisebb empátiás szinttel rendelkeznek szerényebb környezetből származó társaiknál</w:t>
      </w:r>
    </w:p>
    <w:p w14:paraId="374B40D3" w14:textId="0A39801C" w:rsidR="00964699" w:rsidRPr="005A3C94" w:rsidRDefault="00732D5B" w:rsidP="00732D5B">
      <w:pPr>
        <w:jc w:val="both"/>
        <w:rPr>
          <w:rFonts w:ascii="Times New Roman" w:eastAsiaTheme="majorEastAsia" w:hAnsi="Times New Roman" w:cs="Times New Roman"/>
          <w:b/>
        </w:rPr>
      </w:pPr>
      <w:r w:rsidRPr="005A3C94">
        <w:rPr>
          <w:rFonts w:ascii="Times New Roman" w:eastAsiaTheme="majorEastAsia" w:hAnsi="Times New Roman" w:cs="Times New Roman"/>
          <w:b/>
        </w:rPr>
        <w:t>Olvasási kiépültség</w:t>
      </w:r>
    </w:p>
    <w:p w14:paraId="64C27822" w14:textId="140A72C8" w:rsidR="00732D5B" w:rsidRPr="005A3C94" w:rsidRDefault="004A58D5" w:rsidP="00732D5B">
      <w:pPr>
        <w:pStyle w:val="Listaszerbekezds"/>
        <w:numPr>
          <w:ilvl w:val="0"/>
          <w:numId w:val="32"/>
        </w:numPr>
        <w:jc w:val="both"/>
        <w:rPr>
          <w:rFonts w:ascii="Times New Roman" w:eastAsiaTheme="majorEastAsia" w:hAnsi="Times New Roman" w:cs="Times New Roman"/>
        </w:rPr>
      </w:pPr>
      <w:r w:rsidRPr="005A3C94">
        <w:rPr>
          <w:rFonts w:ascii="Times New Roman" w:hAnsi="Times New Roman" w:cs="Times New Roman"/>
          <w:sz w:val="24"/>
          <w:szCs w:val="24"/>
        </w:rPr>
        <w:t>A kísérleti csoportban jelentősen, a kontroll csoportot is meghaladó mértékben nőtt az optimális szinten olvasók aránya</w:t>
      </w:r>
    </w:p>
    <w:p w14:paraId="59BE88FF" w14:textId="5FFC9E31" w:rsidR="004A58D5" w:rsidRPr="005A3C94" w:rsidRDefault="004A58D5" w:rsidP="004A58D5">
      <w:pPr>
        <w:jc w:val="both"/>
        <w:rPr>
          <w:rFonts w:ascii="Times New Roman" w:eastAsiaTheme="majorEastAsia" w:hAnsi="Times New Roman" w:cs="Times New Roman"/>
          <w:b/>
        </w:rPr>
      </w:pPr>
      <w:r w:rsidRPr="005A3C94">
        <w:rPr>
          <w:rFonts w:ascii="Times New Roman" w:eastAsiaTheme="majorEastAsia" w:hAnsi="Times New Roman" w:cs="Times New Roman"/>
          <w:b/>
        </w:rPr>
        <w:t>Matematika képességek</w:t>
      </w:r>
    </w:p>
    <w:bookmarkEnd w:id="17"/>
    <w:p w14:paraId="0A5341C4" w14:textId="565A00EF" w:rsidR="00596F38" w:rsidRPr="005A3C94" w:rsidRDefault="00C21F04" w:rsidP="00C21F04">
      <w:pPr>
        <w:pStyle w:val="Listaszerbekezds"/>
        <w:numPr>
          <w:ilvl w:val="0"/>
          <w:numId w:val="32"/>
        </w:numPr>
        <w:jc w:val="both"/>
        <w:rPr>
          <w:rFonts w:asciiTheme="majorHAnsi" w:eastAsiaTheme="majorEastAsia" w:hAnsiTheme="majorHAnsi" w:cstheme="majorBidi"/>
          <w:color w:val="1F4D78" w:themeColor="accent1" w:themeShade="7F"/>
          <w:sz w:val="24"/>
          <w:szCs w:val="24"/>
        </w:rPr>
      </w:pPr>
      <w:r w:rsidRPr="005A3C94">
        <w:rPr>
          <w:rFonts w:ascii="Times New Roman" w:hAnsi="Times New Roman" w:cs="Times New Roman"/>
          <w:sz w:val="24"/>
          <w:szCs w:val="24"/>
        </w:rPr>
        <w:t>A program hatására a kísérleti osztályokba járó diákok a kontroll csoporthoz képest is többször adtak jó választ a matematika feladatokra</w:t>
      </w:r>
      <w:r w:rsidR="001066DC" w:rsidRPr="005A3C94">
        <w:rPr>
          <w:rFonts w:ascii="Times New Roman" w:hAnsi="Times New Roman" w:cs="Times New Roman"/>
          <w:sz w:val="24"/>
          <w:szCs w:val="24"/>
        </w:rPr>
        <w:t xml:space="preserve">. A mérés alapján a helyes válaszok </w:t>
      </w:r>
      <w:r w:rsidR="00355FB5" w:rsidRPr="005A3C94">
        <w:rPr>
          <w:rFonts w:ascii="Times New Roman" w:hAnsi="Times New Roman" w:cs="Times New Roman"/>
          <w:sz w:val="24"/>
          <w:szCs w:val="24"/>
        </w:rPr>
        <w:t>leg</w:t>
      </w:r>
      <w:r w:rsidR="001066DC" w:rsidRPr="005A3C94">
        <w:rPr>
          <w:rFonts w:ascii="Times New Roman" w:hAnsi="Times New Roman" w:cs="Times New Roman"/>
          <w:sz w:val="24"/>
          <w:szCs w:val="24"/>
        </w:rPr>
        <w:t>főképp a jobb háttérrel</w:t>
      </w:r>
      <w:r w:rsidR="00355FB5" w:rsidRPr="005A3C94">
        <w:rPr>
          <w:rFonts w:ascii="Times New Roman" w:hAnsi="Times New Roman" w:cs="Times New Roman"/>
          <w:sz w:val="24"/>
          <w:szCs w:val="24"/>
        </w:rPr>
        <w:t xml:space="preserve"> rendelkező diákok esetében nőttek</w:t>
      </w:r>
    </w:p>
    <w:p w14:paraId="575BD958" w14:textId="6AED760B" w:rsidR="001066DC" w:rsidRPr="005A3C94" w:rsidRDefault="00596F38" w:rsidP="00C21F04">
      <w:pPr>
        <w:pStyle w:val="Listaszerbekezds"/>
        <w:numPr>
          <w:ilvl w:val="0"/>
          <w:numId w:val="32"/>
        </w:numPr>
        <w:jc w:val="both"/>
        <w:rPr>
          <w:rFonts w:asciiTheme="majorHAnsi" w:eastAsiaTheme="majorEastAsia" w:hAnsiTheme="majorHAnsi" w:cstheme="majorBidi"/>
          <w:color w:val="1F4D78" w:themeColor="accent1" w:themeShade="7F"/>
          <w:sz w:val="24"/>
          <w:szCs w:val="24"/>
        </w:rPr>
      </w:pPr>
      <w:r w:rsidRPr="005A3C94">
        <w:rPr>
          <w:rFonts w:ascii="Times New Roman" w:hAnsi="Times New Roman" w:cs="Times New Roman"/>
          <w:sz w:val="24"/>
          <w:szCs w:val="24"/>
        </w:rPr>
        <w:t>Valamivel nőtt a kísérleti csoportban a rossz válaszok száma, ezzel együtt pedig csökkent a hiányzó válaszok száma. Ezt magyarázhatja a tanulók mat</w:t>
      </w:r>
      <w:r w:rsidR="00355FB5" w:rsidRPr="005A3C94">
        <w:rPr>
          <w:rFonts w:ascii="Times New Roman" w:hAnsi="Times New Roman" w:cs="Times New Roman"/>
          <w:sz w:val="24"/>
          <w:szCs w:val="24"/>
        </w:rPr>
        <w:t>ematikai magabiztosságának növeked</w:t>
      </w:r>
      <w:r w:rsidRPr="005A3C94">
        <w:rPr>
          <w:rFonts w:ascii="Times New Roman" w:hAnsi="Times New Roman" w:cs="Times New Roman"/>
          <w:sz w:val="24"/>
          <w:szCs w:val="24"/>
        </w:rPr>
        <w:t>ése, azaz a kimeneti méréskor már akkor is bele mertek kezdeni egy feladatba, ha nem vol</w:t>
      </w:r>
      <w:r w:rsidR="00355FB5" w:rsidRPr="005A3C94">
        <w:rPr>
          <w:rFonts w:ascii="Times New Roman" w:hAnsi="Times New Roman" w:cs="Times New Roman"/>
          <w:sz w:val="24"/>
          <w:szCs w:val="24"/>
        </w:rPr>
        <w:t>t</w:t>
      </w:r>
      <w:r w:rsidRPr="005A3C94">
        <w:rPr>
          <w:rFonts w:ascii="Times New Roman" w:hAnsi="Times New Roman" w:cs="Times New Roman"/>
          <w:sz w:val="24"/>
          <w:szCs w:val="24"/>
        </w:rPr>
        <w:t>ak biztosak a megoldásban</w:t>
      </w:r>
      <w:r w:rsidR="00355FB5" w:rsidRPr="005A3C94">
        <w:rPr>
          <w:rFonts w:ascii="Times New Roman" w:hAnsi="Times New Roman" w:cs="Times New Roman"/>
          <w:sz w:val="24"/>
          <w:szCs w:val="24"/>
        </w:rPr>
        <w:t>. Az eredmények szerint nem csak a legjobb háttérrel rendelkező, hanem a többi tanuló is bátrabban belekezdett a feladatokba</w:t>
      </w:r>
    </w:p>
    <w:p w14:paraId="5B814B7A" w14:textId="1D5CB1F9" w:rsidR="00732D5B" w:rsidRPr="005A3C94" w:rsidRDefault="00732D5B" w:rsidP="00C21F04">
      <w:pPr>
        <w:pStyle w:val="Listaszerbekezds"/>
        <w:numPr>
          <w:ilvl w:val="0"/>
          <w:numId w:val="32"/>
        </w:numPr>
        <w:jc w:val="both"/>
        <w:rPr>
          <w:rFonts w:asciiTheme="majorHAnsi" w:eastAsiaTheme="majorEastAsia" w:hAnsiTheme="majorHAnsi" w:cstheme="majorBidi"/>
          <w:color w:val="1F4D78" w:themeColor="accent1" w:themeShade="7F"/>
          <w:sz w:val="24"/>
          <w:szCs w:val="24"/>
        </w:rPr>
      </w:pPr>
      <w:r w:rsidRPr="005A3C94">
        <w:br w:type="page"/>
      </w:r>
    </w:p>
    <w:p w14:paraId="65342524" w14:textId="1A3F3734" w:rsidR="00F4610D" w:rsidRPr="005A3C94" w:rsidRDefault="00732D5B" w:rsidP="00964699">
      <w:pPr>
        <w:pStyle w:val="Cmsor3"/>
      </w:pPr>
      <w:r w:rsidRPr="005A3C94">
        <w:t>Szociális attitűdök, kompetenciák</w:t>
      </w:r>
      <w:r w:rsidR="009E4F2E">
        <w:t xml:space="preserve"> vizsgálata</w:t>
      </w:r>
    </w:p>
    <w:p w14:paraId="61A38797" w14:textId="77777777" w:rsidR="00F4610D" w:rsidRPr="005A3C94" w:rsidRDefault="00F4610D" w:rsidP="00F4610D">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Az adatok alapján a család tárgyi ellátottsága erőteljesen befolyásolja a gyerek személyes tárgyainak számát. Az adatokból látható, hogy a nagyon szegény családok (0-2 tárgy) 41 százalékában a gyerekeknek is csak 0-2 tárgyuk van. Emellett a másik véglet is markáns, hiszen az öt tárggyal rendelkező családok 92 százalékának gyerekei négy tárggyal rendelkeznek. </w:t>
      </w:r>
    </w:p>
    <w:p w14:paraId="5995920E" w14:textId="77777777" w:rsidR="00F4610D" w:rsidRPr="005A3C94" w:rsidRDefault="00DF1D13" w:rsidP="00F4610D">
      <w:pPr>
        <w:pStyle w:val="Kpalrs"/>
        <w:keepNext/>
      </w:pPr>
      <w:r>
        <w:fldChar w:fldCharType="begin"/>
      </w:r>
      <w:r>
        <w:instrText xml:space="preserve"> SEQ táblázat \* ARABIC </w:instrText>
      </w:r>
      <w:r>
        <w:fldChar w:fldCharType="separate"/>
      </w:r>
      <w:r w:rsidR="00DC5809">
        <w:rPr>
          <w:noProof/>
        </w:rPr>
        <w:t>1</w:t>
      </w:r>
      <w:r>
        <w:rPr>
          <w:noProof/>
        </w:rPr>
        <w:fldChar w:fldCharType="end"/>
      </w:r>
      <w:r w:rsidR="00F4610D" w:rsidRPr="005A3C94">
        <w:t>. táblázat: A családi és a személyi ellátottság megoszolása (Zárójelben a százalékos megoszlások)</w:t>
      </w:r>
    </w:p>
    <w:tbl>
      <w:tblPr>
        <w:tblW w:w="7131" w:type="dxa"/>
        <w:jc w:val="center"/>
        <w:tblCellMar>
          <w:left w:w="70" w:type="dxa"/>
          <w:right w:w="70" w:type="dxa"/>
        </w:tblCellMar>
        <w:tblLook w:val="04A0" w:firstRow="1" w:lastRow="0" w:firstColumn="1" w:lastColumn="0" w:noHBand="0" w:noVBand="1"/>
      </w:tblPr>
      <w:tblGrid>
        <w:gridCol w:w="1292"/>
        <w:gridCol w:w="1964"/>
        <w:gridCol w:w="2126"/>
        <w:gridCol w:w="1749"/>
      </w:tblGrid>
      <w:tr w:rsidR="00F4610D" w:rsidRPr="005A3C94" w14:paraId="55DC925B" w14:textId="77777777" w:rsidTr="001B4AD8">
        <w:trPr>
          <w:trHeight w:val="468"/>
          <w:jc w:val="center"/>
        </w:trPr>
        <w:tc>
          <w:tcPr>
            <w:tcW w:w="1292"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5A1119FF" w14:textId="77777777" w:rsidR="00F4610D" w:rsidRPr="005A3C94" w:rsidRDefault="00F4610D" w:rsidP="001B4AD8">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 </w:t>
            </w:r>
          </w:p>
        </w:tc>
        <w:tc>
          <w:tcPr>
            <w:tcW w:w="1964" w:type="dxa"/>
            <w:tcBorders>
              <w:top w:val="single" w:sz="4" w:space="0" w:color="auto"/>
              <w:left w:val="nil"/>
              <w:bottom w:val="single" w:sz="4" w:space="0" w:color="auto"/>
              <w:right w:val="single" w:sz="4" w:space="0" w:color="auto"/>
            </w:tcBorders>
            <w:shd w:val="clear" w:color="000000" w:fill="4F81BD"/>
            <w:vAlign w:val="center"/>
            <w:hideMark/>
          </w:tcPr>
          <w:p w14:paraId="5D1F2F97" w14:textId="77777777" w:rsidR="00F4610D" w:rsidRPr="005A3C94" w:rsidRDefault="00F4610D" w:rsidP="001B4AD8">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0-2 személyes tárgy</w:t>
            </w:r>
          </w:p>
        </w:tc>
        <w:tc>
          <w:tcPr>
            <w:tcW w:w="2126" w:type="dxa"/>
            <w:tcBorders>
              <w:top w:val="single" w:sz="4" w:space="0" w:color="auto"/>
              <w:left w:val="nil"/>
              <w:bottom w:val="single" w:sz="4" w:space="0" w:color="auto"/>
              <w:right w:val="single" w:sz="4" w:space="0" w:color="auto"/>
            </w:tcBorders>
            <w:shd w:val="clear" w:color="000000" w:fill="4F81BD"/>
            <w:vAlign w:val="center"/>
            <w:hideMark/>
          </w:tcPr>
          <w:p w14:paraId="10719989" w14:textId="77777777" w:rsidR="00F4610D" w:rsidRPr="005A3C94" w:rsidRDefault="00F4610D" w:rsidP="001B4AD8">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3 személyes tárgy</w:t>
            </w:r>
          </w:p>
        </w:tc>
        <w:tc>
          <w:tcPr>
            <w:tcW w:w="1749" w:type="dxa"/>
            <w:tcBorders>
              <w:top w:val="single" w:sz="4" w:space="0" w:color="auto"/>
              <w:left w:val="nil"/>
              <w:bottom w:val="single" w:sz="4" w:space="0" w:color="auto"/>
              <w:right w:val="single" w:sz="4" w:space="0" w:color="auto"/>
            </w:tcBorders>
            <w:shd w:val="clear" w:color="000000" w:fill="4F81BD"/>
            <w:vAlign w:val="center"/>
            <w:hideMark/>
          </w:tcPr>
          <w:p w14:paraId="711BE2E6" w14:textId="77777777" w:rsidR="00F4610D" w:rsidRPr="005A3C94" w:rsidRDefault="00F4610D" w:rsidP="001B4AD8">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4 személyes tárgy</w:t>
            </w:r>
          </w:p>
        </w:tc>
      </w:tr>
      <w:tr w:rsidR="00F4610D" w:rsidRPr="005A3C94" w14:paraId="73484C39" w14:textId="77777777" w:rsidTr="001B4AD8">
        <w:trPr>
          <w:trHeight w:val="506"/>
          <w:jc w:val="center"/>
        </w:trPr>
        <w:tc>
          <w:tcPr>
            <w:tcW w:w="1292" w:type="dxa"/>
            <w:tcBorders>
              <w:top w:val="nil"/>
              <w:left w:val="single" w:sz="4" w:space="0" w:color="auto"/>
              <w:bottom w:val="single" w:sz="4" w:space="0" w:color="auto"/>
              <w:right w:val="single" w:sz="4" w:space="0" w:color="auto"/>
            </w:tcBorders>
            <w:shd w:val="clear" w:color="000000" w:fill="4F81BD"/>
            <w:vAlign w:val="center"/>
            <w:hideMark/>
          </w:tcPr>
          <w:p w14:paraId="09E79031" w14:textId="77777777" w:rsidR="00F4610D" w:rsidRPr="005A3C94" w:rsidRDefault="00F4610D" w:rsidP="001B4AD8">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0-2 családi tárgy</w:t>
            </w:r>
          </w:p>
        </w:tc>
        <w:tc>
          <w:tcPr>
            <w:tcW w:w="1964" w:type="dxa"/>
            <w:tcBorders>
              <w:top w:val="nil"/>
              <w:left w:val="nil"/>
              <w:bottom w:val="single" w:sz="4" w:space="0" w:color="auto"/>
              <w:right w:val="single" w:sz="4" w:space="0" w:color="auto"/>
            </w:tcBorders>
            <w:shd w:val="clear" w:color="000000" w:fill="C5D9F1"/>
            <w:vAlign w:val="center"/>
            <w:hideMark/>
          </w:tcPr>
          <w:p w14:paraId="13936731" w14:textId="77777777" w:rsidR="00F4610D" w:rsidRPr="005A3C94" w:rsidRDefault="00F4610D" w:rsidP="001B4AD8">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10 (42%)</w:t>
            </w:r>
          </w:p>
        </w:tc>
        <w:tc>
          <w:tcPr>
            <w:tcW w:w="2126" w:type="dxa"/>
            <w:tcBorders>
              <w:top w:val="nil"/>
              <w:left w:val="nil"/>
              <w:bottom w:val="single" w:sz="4" w:space="0" w:color="auto"/>
              <w:right w:val="single" w:sz="4" w:space="0" w:color="auto"/>
            </w:tcBorders>
            <w:shd w:val="clear" w:color="000000" w:fill="C5D9F1"/>
            <w:vAlign w:val="center"/>
            <w:hideMark/>
          </w:tcPr>
          <w:p w14:paraId="18EA8FE8" w14:textId="77777777" w:rsidR="00F4610D" w:rsidRPr="005A3C94" w:rsidRDefault="00F4610D" w:rsidP="001B4AD8">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8 (33%)</w:t>
            </w:r>
          </w:p>
        </w:tc>
        <w:tc>
          <w:tcPr>
            <w:tcW w:w="1749" w:type="dxa"/>
            <w:tcBorders>
              <w:top w:val="nil"/>
              <w:left w:val="nil"/>
              <w:bottom w:val="single" w:sz="4" w:space="0" w:color="auto"/>
              <w:right w:val="single" w:sz="4" w:space="0" w:color="auto"/>
            </w:tcBorders>
            <w:shd w:val="clear" w:color="000000" w:fill="C5D9F1"/>
            <w:vAlign w:val="center"/>
            <w:hideMark/>
          </w:tcPr>
          <w:p w14:paraId="799F673B" w14:textId="77777777" w:rsidR="00F4610D" w:rsidRPr="005A3C94" w:rsidRDefault="00F4610D" w:rsidP="001B4AD8">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6 (25%)</w:t>
            </w:r>
          </w:p>
        </w:tc>
      </w:tr>
      <w:tr w:rsidR="00F4610D" w:rsidRPr="005A3C94" w14:paraId="1309F582" w14:textId="77777777" w:rsidTr="001B4AD8">
        <w:trPr>
          <w:trHeight w:val="468"/>
          <w:jc w:val="center"/>
        </w:trPr>
        <w:tc>
          <w:tcPr>
            <w:tcW w:w="1292" w:type="dxa"/>
            <w:tcBorders>
              <w:top w:val="nil"/>
              <w:left w:val="single" w:sz="4" w:space="0" w:color="auto"/>
              <w:bottom w:val="single" w:sz="4" w:space="0" w:color="auto"/>
              <w:right w:val="single" w:sz="4" w:space="0" w:color="auto"/>
            </w:tcBorders>
            <w:shd w:val="clear" w:color="000000" w:fill="4F81BD"/>
            <w:vAlign w:val="center"/>
            <w:hideMark/>
          </w:tcPr>
          <w:p w14:paraId="37A12869" w14:textId="77777777" w:rsidR="00F4610D" w:rsidRPr="005A3C94" w:rsidRDefault="00F4610D" w:rsidP="001B4AD8">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3 családi tárgy</w:t>
            </w:r>
          </w:p>
        </w:tc>
        <w:tc>
          <w:tcPr>
            <w:tcW w:w="1964" w:type="dxa"/>
            <w:tcBorders>
              <w:top w:val="nil"/>
              <w:left w:val="nil"/>
              <w:bottom w:val="single" w:sz="4" w:space="0" w:color="auto"/>
              <w:right w:val="single" w:sz="4" w:space="0" w:color="auto"/>
            </w:tcBorders>
            <w:shd w:val="clear" w:color="000000" w:fill="C5D9F1"/>
            <w:vAlign w:val="center"/>
            <w:hideMark/>
          </w:tcPr>
          <w:p w14:paraId="3C9807CE" w14:textId="77777777" w:rsidR="00F4610D" w:rsidRPr="005A3C94" w:rsidRDefault="00F4610D" w:rsidP="001B4AD8">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3 (11 %)</w:t>
            </w:r>
          </w:p>
        </w:tc>
        <w:tc>
          <w:tcPr>
            <w:tcW w:w="2126" w:type="dxa"/>
            <w:tcBorders>
              <w:top w:val="nil"/>
              <w:left w:val="nil"/>
              <w:bottom w:val="single" w:sz="4" w:space="0" w:color="auto"/>
              <w:right w:val="single" w:sz="4" w:space="0" w:color="auto"/>
            </w:tcBorders>
            <w:shd w:val="clear" w:color="000000" w:fill="C5D9F1"/>
            <w:vAlign w:val="center"/>
            <w:hideMark/>
          </w:tcPr>
          <w:p w14:paraId="2F704480" w14:textId="77777777" w:rsidR="00F4610D" w:rsidRPr="005A3C94" w:rsidRDefault="00F4610D" w:rsidP="001B4AD8">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8 (31%)</w:t>
            </w:r>
          </w:p>
        </w:tc>
        <w:tc>
          <w:tcPr>
            <w:tcW w:w="1749" w:type="dxa"/>
            <w:tcBorders>
              <w:top w:val="nil"/>
              <w:left w:val="nil"/>
              <w:bottom w:val="single" w:sz="4" w:space="0" w:color="auto"/>
              <w:right w:val="single" w:sz="4" w:space="0" w:color="auto"/>
            </w:tcBorders>
            <w:shd w:val="clear" w:color="000000" w:fill="C5D9F1"/>
            <w:vAlign w:val="center"/>
            <w:hideMark/>
          </w:tcPr>
          <w:p w14:paraId="0100B41A" w14:textId="77777777" w:rsidR="00F4610D" w:rsidRPr="005A3C94" w:rsidRDefault="00F4610D" w:rsidP="001B4AD8">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15 (57%)</w:t>
            </w:r>
          </w:p>
        </w:tc>
      </w:tr>
      <w:tr w:rsidR="00F4610D" w:rsidRPr="005A3C94" w14:paraId="649D1A1C" w14:textId="77777777" w:rsidTr="001B4AD8">
        <w:trPr>
          <w:trHeight w:val="468"/>
          <w:jc w:val="center"/>
        </w:trPr>
        <w:tc>
          <w:tcPr>
            <w:tcW w:w="1292" w:type="dxa"/>
            <w:tcBorders>
              <w:top w:val="nil"/>
              <w:left w:val="single" w:sz="4" w:space="0" w:color="auto"/>
              <w:bottom w:val="single" w:sz="4" w:space="0" w:color="auto"/>
              <w:right w:val="single" w:sz="4" w:space="0" w:color="auto"/>
            </w:tcBorders>
            <w:shd w:val="clear" w:color="000000" w:fill="4F81BD"/>
            <w:vAlign w:val="center"/>
            <w:hideMark/>
          </w:tcPr>
          <w:p w14:paraId="001C2837" w14:textId="77777777" w:rsidR="00F4610D" w:rsidRPr="005A3C94" w:rsidRDefault="00F4610D" w:rsidP="001B4AD8">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4 családi tárgy</w:t>
            </w:r>
          </w:p>
        </w:tc>
        <w:tc>
          <w:tcPr>
            <w:tcW w:w="1964" w:type="dxa"/>
            <w:tcBorders>
              <w:top w:val="nil"/>
              <w:left w:val="nil"/>
              <w:bottom w:val="single" w:sz="4" w:space="0" w:color="auto"/>
              <w:right w:val="single" w:sz="4" w:space="0" w:color="auto"/>
            </w:tcBorders>
            <w:shd w:val="clear" w:color="000000" w:fill="C5D9F1"/>
            <w:vAlign w:val="center"/>
            <w:hideMark/>
          </w:tcPr>
          <w:p w14:paraId="533F767F" w14:textId="77777777" w:rsidR="00F4610D" w:rsidRPr="005A3C94" w:rsidRDefault="00F4610D" w:rsidP="001B4AD8">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5 (19%)</w:t>
            </w:r>
          </w:p>
        </w:tc>
        <w:tc>
          <w:tcPr>
            <w:tcW w:w="2126" w:type="dxa"/>
            <w:tcBorders>
              <w:top w:val="nil"/>
              <w:left w:val="nil"/>
              <w:bottom w:val="single" w:sz="4" w:space="0" w:color="auto"/>
              <w:right w:val="single" w:sz="4" w:space="0" w:color="auto"/>
            </w:tcBorders>
            <w:shd w:val="clear" w:color="000000" w:fill="C5D9F1"/>
            <w:vAlign w:val="center"/>
            <w:hideMark/>
          </w:tcPr>
          <w:p w14:paraId="44B1C449" w14:textId="77777777" w:rsidR="00F4610D" w:rsidRPr="005A3C94" w:rsidRDefault="00F4610D" w:rsidP="001B4AD8">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5 (19%)</w:t>
            </w:r>
          </w:p>
        </w:tc>
        <w:tc>
          <w:tcPr>
            <w:tcW w:w="1749" w:type="dxa"/>
            <w:tcBorders>
              <w:top w:val="nil"/>
              <w:left w:val="nil"/>
              <w:bottom w:val="single" w:sz="4" w:space="0" w:color="auto"/>
              <w:right w:val="single" w:sz="4" w:space="0" w:color="auto"/>
            </w:tcBorders>
            <w:shd w:val="clear" w:color="000000" w:fill="C5D9F1"/>
            <w:vAlign w:val="center"/>
            <w:hideMark/>
          </w:tcPr>
          <w:p w14:paraId="72C40267" w14:textId="77777777" w:rsidR="00F4610D" w:rsidRPr="005A3C94" w:rsidRDefault="00F4610D" w:rsidP="001B4AD8">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16 (62%)</w:t>
            </w:r>
          </w:p>
        </w:tc>
      </w:tr>
      <w:tr w:rsidR="00F4610D" w:rsidRPr="005A3C94" w14:paraId="0BCE2793" w14:textId="77777777" w:rsidTr="001B4AD8">
        <w:trPr>
          <w:trHeight w:val="527"/>
          <w:jc w:val="center"/>
        </w:trPr>
        <w:tc>
          <w:tcPr>
            <w:tcW w:w="1292" w:type="dxa"/>
            <w:tcBorders>
              <w:top w:val="nil"/>
              <w:left w:val="single" w:sz="4" w:space="0" w:color="auto"/>
              <w:bottom w:val="single" w:sz="4" w:space="0" w:color="auto"/>
              <w:right w:val="single" w:sz="4" w:space="0" w:color="auto"/>
            </w:tcBorders>
            <w:shd w:val="clear" w:color="000000" w:fill="4F81BD"/>
            <w:vAlign w:val="center"/>
            <w:hideMark/>
          </w:tcPr>
          <w:p w14:paraId="79FF8533" w14:textId="77777777" w:rsidR="00F4610D" w:rsidRPr="005A3C94" w:rsidRDefault="00F4610D" w:rsidP="001B4AD8">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5 családi tárgy</w:t>
            </w:r>
          </w:p>
        </w:tc>
        <w:tc>
          <w:tcPr>
            <w:tcW w:w="1964" w:type="dxa"/>
            <w:tcBorders>
              <w:top w:val="nil"/>
              <w:left w:val="nil"/>
              <w:bottom w:val="single" w:sz="4" w:space="0" w:color="auto"/>
              <w:right w:val="single" w:sz="4" w:space="0" w:color="auto"/>
            </w:tcBorders>
            <w:shd w:val="clear" w:color="000000" w:fill="C5D9F1"/>
            <w:vAlign w:val="center"/>
            <w:hideMark/>
          </w:tcPr>
          <w:p w14:paraId="5AA5FE58" w14:textId="77777777" w:rsidR="00F4610D" w:rsidRPr="005A3C94" w:rsidRDefault="00F4610D" w:rsidP="001B4AD8">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 (0%)</w:t>
            </w:r>
          </w:p>
        </w:tc>
        <w:tc>
          <w:tcPr>
            <w:tcW w:w="2126" w:type="dxa"/>
            <w:tcBorders>
              <w:top w:val="nil"/>
              <w:left w:val="nil"/>
              <w:bottom w:val="single" w:sz="4" w:space="0" w:color="auto"/>
              <w:right w:val="single" w:sz="4" w:space="0" w:color="auto"/>
            </w:tcBorders>
            <w:shd w:val="clear" w:color="000000" w:fill="C5D9F1"/>
            <w:vAlign w:val="center"/>
            <w:hideMark/>
          </w:tcPr>
          <w:p w14:paraId="2D1B69BC" w14:textId="77777777" w:rsidR="00F4610D" w:rsidRPr="005A3C94" w:rsidRDefault="00F4610D" w:rsidP="001B4AD8">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 (8%)</w:t>
            </w:r>
          </w:p>
        </w:tc>
        <w:tc>
          <w:tcPr>
            <w:tcW w:w="1749" w:type="dxa"/>
            <w:tcBorders>
              <w:top w:val="nil"/>
              <w:left w:val="nil"/>
              <w:bottom w:val="single" w:sz="4" w:space="0" w:color="auto"/>
              <w:right w:val="single" w:sz="4" w:space="0" w:color="auto"/>
            </w:tcBorders>
            <w:shd w:val="clear" w:color="000000" w:fill="C5D9F1"/>
            <w:vAlign w:val="center"/>
            <w:hideMark/>
          </w:tcPr>
          <w:p w14:paraId="0FB41D21" w14:textId="77777777" w:rsidR="00F4610D" w:rsidRPr="005A3C94" w:rsidRDefault="00F4610D" w:rsidP="001B4AD8">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11 (92%)</w:t>
            </w:r>
          </w:p>
        </w:tc>
      </w:tr>
    </w:tbl>
    <w:p w14:paraId="7ED0E8CC" w14:textId="77777777" w:rsidR="00F4610D" w:rsidRPr="005A3C94" w:rsidRDefault="00F4610D" w:rsidP="00F4610D">
      <w:pPr>
        <w:pStyle w:val="Listaszerbekezds"/>
        <w:spacing w:line="276" w:lineRule="auto"/>
        <w:jc w:val="both"/>
        <w:rPr>
          <w:rFonts w:ascii="Times New Roman" w:hAnsi="Times New Roman" w:cs="Times New Roman"/>
          <w:sz w:val="24"/>
          <w:szCs w:val="24"/>
        </w:rPr>
      </w:pPr>
    </w:p>
    <w:p w14:paraId="365D9B02" w14:textId="4FFC67D7" w:rsidR="00F4610D" w:rsidRPr="005A3C94" w:rsidRDefault="001329BA" w:rsidP="00F4610D">
      <w:pPr>
        <w:spacing w:line="276" w:lineRule="auto"/>
        <w:jc w:val="both"/>
        <w:rPr>
          <w:rFonts w:ascii="Times New Roman" w:hAnsi="Times New Roman" w:cs="Times New Roman"/>
          <w:sz w:val="24"/>
          <w:szCs w:val="24"/>
        </w:rPr>
      </w:pPr>
      <w:r>
        <w:rPr>
          <w:rFonts w:ascii="Times New Roman" w:hAnsi="Times New Roman" w:cs="Times New Roman"/>
          <w:sz w:val="24"/>
          <w:szCs w:val="24"/>
        </w:rPr>
        <w:t>Megfigyelhető</w:t>
      </w:r>
      <w:r w:rsidR="00F4610D" w:rsidRPr="005A3C94">
        <w:rPr>
          <w:rFonts w:ascii="Times New Roman" w:hAnsi="Times New Roman" w:cs="Times New Roman"/>
          <w:sz w:val="24"/>
          <w:szCs w:val="24"/>
        </w:rPr>
        <w:t xml:space="preserve">, hogy a családok törekszenek arra, hogy a gyerekeknek több személyes tárgyuk legyen, mint a család egészének. A legkevesebb tárggyal rendelkező családok 60 százaléka kettőnél több személyes tárgyat nyújt a gyerekeinek. Hasonló az arány a három és a négy tárggyal rendelkező családok esetében is. Habár ez azt is jelenti, hogy előfordul olyan, hogy a család rendelkezik tárgyi javakkal, a </w:t>
      </w:r>
      <w:r>
        <w:rPr>
          <w:rFonts w:ascii="Times New Roman" w:hAnsi="Times New Roman" w:cs="Times New Roman"/>
          <w:sz w:val="24"/>
          <w:szCs w:val="24"/>
        </w:rPr>
        <w:t>diáknak</w:t>
      </w:r>
      <w:r w:rsidR="00F4610D" w:rsidRPr="005A3C94">
        <w:rPr>
          <w:rFonts w:ascii="Times New Roman" w:hAnsi="Times New Roman" w:cs="Times New Roman"/>
          <w:sz w:val="24"/>
          <w:szCs w:val="24"/>
        </w:rPr>
        <w:t xml:space="preserve"> </w:t>
      </w:r>
      <w:r>
        <w:rPr>
          <w:rFonts w:ascii="Times New Roman" w:hAnsi="Times New Roman" w:cs="Times New Roman"/>
          <w:sz w:val="24"/>
          <w:szCs w:val="24"/>
        </w:rPr>
        <w:t>azonban nincsenek tárgyai</w:t>
      </w:r>
      <w:r w:rsidR="00F4610D" w:rsidRPr="005A3C94">
        <w:rPr>
          <w:rFonts w:ascii="Times New Roman" w:hAnsi="Times New Roman" w:cs="Times New Roman"/>
          <w:sz w:val="24"/>
          <w:szCs w:val="24"/>
        </w:rPr>
        <w:t>. Az első három családi kategória esetén mindegyik csoportban legalább 2 olyan gyerek van, akinek</w:t>
      </w:r>
      <w:r>
        <w:rPr>
          <w:rFonts w:ascii="Times New Roman" w:hAnsi="Times New Roman" w:cs="Times New Roman"/>
          <w:sz w:val="24"/>
          <w:szCs w:val="24"/>
        </w:rPr>
        <w:t xml:space="preserve"> nincs saját íróasztala. E</w:t>
      </w:r>
      <w:r w:rsidR="00F4610D" w:rsidRPr="005A3C94">
        <w:rPr>
          <w:rFonts w:ascii="Times New Roman" w:hAnsi="Times New Roman" w:cs="Times New Roman"/>
          <w:sz w:val="24"/>
          <w:szCs w:val="24"/>
        </w:rPr>
        <w:t xml:space="preserve">zen diákok otthoni tanulási lehetőségei erősen korlátozottak lehetnek. </w:t>
      </w:r>
    </w:p>
    <w:p w14:paraId="09779AFF" w14:textId="4C9A8B1C" w:rsidR="002F3DCF" w:rsidRPr="009E4F2E" w:rsidRDefault="00F4610D" w:rsidP="002F3DCF">
      <w:pPr>
        <w:spacing w:line="276" w:lineRule="auto"/>
        <w:jc w:val="both"/>
        <w:rPr>
          <w:rFonts w:ascii="Times New Roman" w:hAnsi="Times New Roman" w:cs="Times New Roman"/>
          <w:sz w:val="24"/>
          <w:szCs w:val="24"/>
        </w:rPr>
      </w:pPr>
      <w:r w:rsidRPr="009E4F2E">
        <w:rPr>
          <w:rFonts w:ascii="Times New Roman" w:hAnsi="Times New Roman" w:cs="Times New Roman"/>
          <w:sz w:val="24"/>
          <w:szCs w:val="24"/>
        </w:rPr>
        <w:t>Megvizsgáltuk</w:t>
      </w:r>
      <w:r w:rsidR="003563BA" w:rsidRPr="009E4F2E">
        <w:rPr>
          <w:rFonts w:ascii="Times New Roman" w:hAnsi="Times New Roman" w:cs="Times New Roman"/>
          <w:sz w:val="24"/>
          <w:szCs w:val="24"/>
        </w:rPr>
        <w:t xml:space="preserve"> a pozitív válaszok átl</w:t>
      </w:r>
      <w:r w:rsidRPr="009E4F2E">
        <w:rPr>
          <w:rFonts w:ascii="Times New Roman" w:hAnsi="Times New Roman" w:cs="Times New Roman"/>
          <w:sz w:val="24"/>
          <w:szCs w:val="24"/>
        </w:rPr>
        <w:t xml:space="preserve">agos számát a család </w:t>
      </w:r>
      <w:r w:rsidR="003563BA" w:rsidRPr="009E4F2E">
        <w:rPr>
          <w:rFonts w:ascii="Times New Roman" w:hAnsi="Times New Roman" w:cs="Times New Roman"/>
          <w:sz w:val="24"/>
          <w:szCs w:val="24"/>
        </w:rPr>
        <w:t xml:space="preserve">tárgyi ellátottsága alapján. </w:t>
      </w:r>
      <w:r w:rsidR="002F3DCF" w:rsidRPr="009E4F2E">
        <w:rPr>
          <w:rFonts w:ascii="Times New Roman" w:hAnsi="Times New Roman" w:cs="Times New Roman"/>
          <w:sz w:val="24"/>
          <w:szCs w:val="24"/>
        </w:rPr>
        <w:t>Az eredmények alapján a Kreatív Partnerség pilot programnak szignifikáns pozitív hatása volt a résztvevő diákok önértékelésére, énképére, kivéve a legalacsonyabb jövedelmi csoportot, ahol nem fejtett ki markáns hatást. Mind a kontroll, mind a kísérleti csoportban csökkent a jómódú diákok empátiás képessége, itt úgy tűnik, hogy a program nem tudta ellensúlyozni a negatív trendet. A programban való részvétel pozitív hatással volt a jómódú diákok tanulási motivációjára, de nem fejtett ki hatást a legszegényebb diákok körében.</w:t>
      </w:r>
    </w:p>
    <w:p w14:paraId="1468E3CD" w14:textId="77777777" w:rsidR="00791FFF" w:rsidRDefault="00791FFF" w:rsidP="002F3DCF">
      <w:pPr>
        <w:spacing w:line="276" w:lineRule="auto"/>
        <w:jc w:val="both"/>
        <w:rPr>
          <w:rFonts w:ascii="Times New Roman" w:hAnsi="Times New Roman" w:cs="Times New Roman"/>
          <w:b/>
          <w:sz w:val="24"/>
          <w:szCs w:val="24"/>
        </w:rPr>
      </w:pPr>
    </w:p>
    <w:p w14:paraId="16F7D923" w14:textId="77777777" w:rsidR="00791FFF" w:rsidRDefault="00791FFF" w:rsidP="002F3DCF">
      <w:pPr>
        <w:spacing w:line="276" w:lineRule="auto"/>
        <w:jc w:val="both"/>
        <w:rPr>
          <w:rFonts w:ascii="Times New Roman" w:hAnsi="Times New Roman" w:cs="Times New Roman"/>
          <w:b/>
          <w:sz w:val="24"/>
          <w:szCs w:val="24"/>
        </w:rPr>
      </w:pPr>
    </w:p>
    <w:p w14:paraId="5EF93A52" w14:textId="77777777" w:rsidR="009E4F2E" w:rsidRDefault="009E4F2E" w:rsidP="002F3DCF">
      <w:pPr>
        <w:spacing w:line="276" w:lineRule="auto"/>
        <w:jc w:val="both"/>
        <w:rPr>
          <w:rFonts w:ascii="Times New Roman" w:hAnsi="Times New Roman" w:cs="Times New Roman"/>
          <w:b/>
          <w:sz w:val="24"/>
          <w:szCs w:val="24"/>
        </w:rPr>
      </w:pPr>
    </w:p>
    <w:p w14:paraId="3D51C6E4" w14:textId="77777777" w:rsidR="00791FFF" w:rsidRDefault="00791FFF" w:rsidP="002F3DCF">
      <w:pPr>
        <w:spacing w:line="276" w:lineRule="auto"/>
        <w:jc w:val="both"/>
        <w:rPr>
          <w:rFonts w:ascii="Times New Roman" w:hAnsi="Times New Roman" w:cs="Times New Roman"/>
          <w:b/>
          <w:sz w:val="24"/>
          <w:szCs w:val="24"/>
        </w:rPr>
      </w:pPr>
    </w:p>
    <w:p w14:paraId="0547F4FE" w14:textId="77777777" w:rsidR="00791FFF" w:rsidRDefault="00791FFF" w:rsidP="002F3DCF">
      <w:pPr>
        <w:spacing w:line="276" w:lineRule="auto"/>
        <w:jc w:val="both"/>
        <w:rPr>
          <w:rFonts w:ascii="Times New Roman" w:hAnsi="Times New Roman" w:cs="Times New Roman"/>
          <w:b/>
          <w:sz w:val="24"/>
          <w:szCs w:val="24"/>
        </w:rPr>
      </w:pPr>
    </w:p>
    <w:p w14:paraId="348E77C9" w14:textId="77777777" w:rsidR="00791FFF" w:rsidRPr="005A3C94" w:rsidRDefault="00791FFF" w:rsidP="002F3DCF">
      <w:pPr>
        <w:spacing w:line="276" w:lineRule="auto"/>
        <w:jc w:val="both"/>
        <w:rPr>
          <w:rFonts w:ascii="Times New Roman" w:hAnsi="Times New Roman" w:cs="Times New Roman"/>
          <w:b/>
          <w:color w:val="FF0000"/>
          <w:sz w:val="24"/>
          <w:szCs w:val="24"/>
        </w:rPr>
      </w:pPr>
    </w:p>
    <w:p w14:paraId="6DDF25C8" w14:textId="2E42BD76" w:rsidR="00F4610D" w:rsidRPr="009E4F2E" w:rsidRDefault="00DF1D13" w:rsidP="00F4610D">
      <w:pPr>
        <w:pStyle w:val="Kpalrs"/>
        <w:keepNext/>
        <w:rPr>
          <w:u w:val="single"/>
        </w:rPr>
      </w:pPr>
      <w:r>
        <w:fldChar w:fldCharType="begin"/>
      </w:r>
      <w:r>
        <w:instrText xml:space="preserve"> SEQ táblázat \* ARABIC </w:instrText>
      </w:r>
      <w:r>
        <w:fldChar w:fldCharType="separate"/>
      </w:r>
      <w:r w:rsidR="00DC5809">
        <w:rPr>
          <w:noProof/>
        </w:rPr>
        <w:t>2</w:t>
      </w:r>
      <w:r>
        <w:rPr>
          <w:noProof/>
        </w:rPr>
        <w:fldChar w:fldCharType="end"/>
      </w:r>
      <w:r w:rsidR="00F4610D" w:rsidRPr="005A3C94">
        <w:t>. táblázat: A családi ellátottság szerinti átlagos standardizált pozitív vá</w:t>
      </w:r>
      <w:r w:rsidR="002F3DCF" w:rsidRPr="005A3C94">
        <w:t xml:space="preserve">laszok eloszlása </w:t>
      </w:r>
      <w:r w:rsidR="002F3DCF" w:rsidRPr="009E4F2E">
        <w:rPr>
          <w:u w:val="single"/>
        </w:rPr>
        <w:t xml:space="preserve">bemenetkor </w:t>
      </w:r>
    </w:p>
    <w:tbl>
      <w:tblPr>
        <w:tblW w:w="6521" w:type="dxa"/>
        <w:jc w:val="center"/>
        <w:tblLayout w:type="fixed"/>
        <w:tblCellMar>
          <w:left w:w="70" w:type="dxa"/>
          <w:right w:w="70" w:type="dxa"/>
        </w:tblCellMar>
        <w:tblLook w:val="04A0" w:firstRow="1" w:lastRow="0" w:firstColumn="1" w:lastColumn="0" w:noHBand="0" w:noVBand="1"/>
      </w:tblPr>
      <w:tblGrid>
        <w:gridCol w:w="641"/>
        <w:gridCol w:w="1782"/>
        <w:gridCol w:w="838"/>
        <w:gridCol w:w="1134"/>
        <w:gridCol w:w="992"/>
        <w:gridCol w:w="1134"/>
      </w:tblGrid>
      <w:tr w:rsidR="004B2665" w:rsidRPr="005A3C94" w14:paraId="7EAA1759" w14:textId="77777777" w:rsidTr="002F3DCF">
        <w:trPr>
          <w:trHeight w:val="945"/>
          <w:jc w:val="center"/>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C1018"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 </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58D245DA"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Kontroll/kísérleti</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15CEB3EF"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Énkép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D99557"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Szociális képesség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430950"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Empátia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C932AE"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Tanulási motiváció</w:t>
            </w:r>
          </w:p>
        </w:tc>
      </w:tr>
      <w:tr w:rsidR="004B2665" w:rsidRPr="005A3C94" w14:paraId="138C4DFB" w14:textId="77777777" w:rsidTr="002F3DCF">
        <w:trPr>
          <w:trHeight w:val="315"/>
          <w:jc w:val="center"/>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5E4E9EE0"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 tárgy</w:t>
            </w:r>
          </w:p>
        </w:tc>
        <w:tc>
          <w:tcPr>
            <w:tcW w:w="1782" w:type="dxa"/>
            <w:tcBorders>
              <w:top w:val="nil"/>
              <w:left w:val="nil"/>
              <w:bottom w:val="single" w:sz="4" w:space="0" w:color="auto"/>
              <w:right w:val="single" w:sz="4" w:space="0" w:color="auto"/>
            </w:tcBorders>
            <w:shd w:val="clear" w:color="auto" w:fill="auto"/>
            <w:vAlign w:val="center"/>
            <w:hideMark/>
          </w:tcPr>
          <w:p w14:paraId="0931E6CC"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838" w:type="dxa"/>
            <w:tcBorders>
              <w:top w:val="nil"/>
              <w:left w:val="nil"/>
              <w:bottom w:val="single" w:sz="4" w:space="0" w:color="auto"/>
              <w:right w:val="single" w:sz="4" w:space="0" w:color="auto"/>
            </w:tcBorders>
            <w:shd w:val="clear" w:color="auto" w:fill="auto"/>
            <w:vAlign w:val="center"/>
            <w:hideMark/>
          </w:tcPr>
          <w:p w14:paraId="5A6FD768"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-0,022</w:t>
            </w:r>
          </w:p>
        </w:tc>
        <w:tc>
          <w:tcPr>
            <w:tcW w:w="1134" w:type="dxa"/>
            <w:tcBorders>
              <w:top w:val="nil"/>
              <w:left w:val="nil"/>
              <w:bottom w:val="single" w:sz="4" w:space="0" w:color="auto"/>
              <w:right w:val="single" w:sz="4" w:space="0" w:color="auto"/>
            </w:tcBorders>
            <w:shd w:val="clear" w:color="auto" w:fill="auto"/>
            <w:vAlign w:val="center"/>
            <w:hideMark/>
          </w:tcPr>
          <w:p w14:paraId="0FA78C92"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0,317</w:t>
            </w:r>
          </w:p>
        </w:tc>
        <w:tc>
          <w:tcPr>
            <w:tcW w:w="992" w:type="dxa"/>
            <w:tcBorders>
              <w:top w:val="nil"/>
              <w:left w:val="nil"/>
              <w:bottom w:val="single" w:sz="4" w:space="0" w:color="auto"/>
              <w:right w:val="single" w:sz="4" w:space="0" w:color="auto"/>
            </w:tcBorders>
            <w:shd w:val="clear" w:color="auto" w:fill="auto"/>
            <w:vAlign w:val="center"/>
            <w:hideMark/>
          </w:tcPr>
          <w:p w14:paraId="29C88413"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0,211</w:t>
            </w:r>
          </w:p>
        </w:tc>
        <w:tc>
          <w:tcPr>
            <w:tcW w:w="1134" w:type="dxa"/>
            <w:tcBorders>
              <w:top w:val="nil"/>
              <w:left w:val="nil"/>
              <w:bottom w:val="single" w:sz="4" w:space="0" w:color="auto"/>
              <w:right w:val="single" w:sz="4" w:space="0" w:color="auto"/>
            </w:tcBorders>
            <w:shd w:val="clear" w:color="auto" w:fill="auto"/>
            <w:vAlign w:val="center"/>
            <w:hideMark/>
          </w:tcPr>
          <w:p w14:paraId="0C7F87E0"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0,034</w:t>
            </w:r>
          </w:p>
        </w:tc>
      </w:tr>
      <w:tr w:rsidR="004B2665" w:rsidRPr="005A3C94" w14:paraId="438F1D36" w14:textId="77777777" w:rsidTr="002F3DCF">
        <w:trPr>
          <w:trHeight w:val="315"/>
          <w:jc w:val="center"/>
        </w:trPr>
        <w:tc>
          <w:tcPr>
            <w:tcW w:w="641" w:type="dxa"/>
            <w:vMerge/>
            <w:tcBorders>
              <w:top w:val="nil"/>
              <w:left w:val="single" w:sz="4" w:space="0" w:color="auto"/>
              <w:bottom w:val="single" w:sz="4" w:space="0" w:color="auto"/>
              <w:right w:val="single" w:sz="4" w:space="0" w:color="auto"/>
            </w:tcBorders>
            <w:vAlign w:val="center"/>
            <w:hideMark/>
          </w:tcPr>
          <w:p w14:paraId="0898531B" w14:textId="77777777" w:rsidR="004B2665" w:rsidRPr="005A3C94" w:rsidRDefault="004B2665" w:rsidP="004B266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56B8D9C5"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838" w:type="dxa"/>
            <w:tcBorders>
              <w:top w:val="nil"/>
              <w:left w:val="nil"/>
              <w:bottom w:val="single" w:sz="4" w:space="0" w:color="auto"/>
              <w:right w:val="single" w:sz="4" w:space="0" w:color="auto"/>
            </w:tcBorders>
            <w:shd w:val="clear" w:color="auto" w:fill="auto"/>
            <w:vAlign w:val="center"/>
            <w:hideMark/>
          </w:tcPr>
          <w:p w14:paraId="0C8745CB"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-0,533</w:t>
            </w:r>
          </w:p>
        </w:tc>
        <w:tc>
          <w:tcPr>
            <w:tcW w:w="1134" w:type="dxa"/>
            <w:tcBorders>
              <w:top w:val="nil"/>
              <w:left w:val="nil"/>
              <w:bottom w:val="single" w:sz="4" w:space="0" w:color="auto"/>
              <w:right w:val="single" w:sz="4" w:space="0" w:color="auto"/>
            </w:tcBorders>
            <w:shd w:val="clear" w:color="auto" w:fill="auto"/>
            <w:vAlign w:val="center"/>
            <w:hideMark/>
          </w:tcPr>
          <w:p w14:paraId="3C8D2D73"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-1,574</w:t>
            </w:r>
          </w:p>
        </w:tc>
        <w:tc>
          <w:tcPr>
            <w:tcW w:w="992" w:type="dxa"/>
            <w:tcBorders>
              <w:top w:val="nil"/>
              <w:left w:val="nil"/>
              <w:bottom w:val="single" w:sz="4" w:space="0" w:color="auto"/>
              <w:right w:val="single" w:sz="4" w:space="0" w:color="auto"/>
            </w:tcBorders>
            <w:shd w:val="clear" w:color="auto" w:fill="auto"/>
            <w:vAlign w:val="center"/>
            <w:hideMark/>
          </w:tcPr>
          <w:p w14:paraId="0F15712B"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-0,079</w:t>
            </w:r>
          </w:p>
        </w:tc>
        <w:tc>
          <w:tcPr>
            <w:tcW w:w="1134" w:type="dxa"/>
            <w:tcBorders>
              <w:top w:val="nil"/>
              <w:left w:val="nil"/>
              <w:bottom w:val="single" w:sz="4" w:space="0" w:color="auto"/>
              <w:right w:val="single" w:sz="4" w:space="0" w:color="auto"/>
            </w:tcBorders>
            <w:shd w:val="clear" w:color="auto" w:fill="auto"/>
            <w:vAlign w:val="center"/>
            <w:hideMark/>
          </w:tcPr>
          <w:p w14:paraId="44A330AC"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0,362</w:t>
            </w:r>
          </w:p>
        </w:tc>
      </w:tr>
      <w:tr w:rsidR="004B2665" w:rsidRPr="005A3C94" w14:paraId="5C04B9E1" w14:textId="77777777" w:rsidTr="002F3DCF">
        <w:trPr>
          <w:trHeight w:val="315"/>
          <w:jc w:val="center"/>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4607B94"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3 tárgy</w:t>
            </w:r>
          </w:p>
        </w:tc>
        <w:tc>
          <w:tcPr>
            <w:tcW w:w="1782" w:type="dxa"/>
            <w:tcBorders>
              <w:top w:val="nil"/>
              <w:left w:val="nil"/>
              <w:bottom w:val="single" w:sz="4" w:space="0" w:color="auto"/>
              <w:right w:val="single" w:sz="4" w:space="0" w:color="auto"/>
            </w:tcBorders>
            <w:shd w:val="clear" w:color="auto" w:fill="auto"/>
            <w:vAlign w:val="center"/>
            <w:hideMark/>
          </w:tcPr>
          <w:p w14:paraId="6471CA3C"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838" w:type="dxa"/>
            <w:tcBorders>
              <w:top w:val="nil"/>
              <w:left w:val="nil"/>
              <w:bottom w:val="single" w:sz="4" w:space="0" w:color="auto"/>
              <w:right w:val="single" w:sz="4" w:space="0" w:color="auto"/>
            </w:tcBorders>
            <w:shd w:val="clear" w:color="auto" w:fill="auto"/>
            <w:vAlign w:val="center"/>
            <w:hideMark/>
          </w:tcPr>
          <w:p w14:paraId="7C684818"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-0,016</w:t>
            </w:r>
          </w:p>
        </w:tc>
        <w:tc>
          <w:tcPr>
            <w:tcW w:w="1134" w:type="dxa"/>
            <w:tcBorders>
              <w:top w:val="nil"/>
              <w:left w:val="nil"/>
              <w:bottom w:val="single" w:sz="4" w:space="0" w:color="auto"/>
              <w:right w:val="single" w:sz="4" w:space="0" w:color="auto"/>
            </w:tcBorders>
            <w:shd w:val="clear" w:color="auto" w:fill="auto"/>
            <w:vAlign w:val="center"/>
            <w:hideMark/>
          </w:tcPr>
          <w:p w14:paraId="47A2BAED"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0,128</w:t>
            </w:r>
          </w:p>
        </w:tc>
        <w:tc>
          <w:tcPr>
            <w:tcW w:w="992" w:type="dxa"/>
            <w:tcBorders>
              <w:top w:val="nil"/>
              <w:left w:val="nil"/>
              <w:bottom w:val="single" w:sz="4" w:space="0" w:color="auto"/>
              <w:right w:val="single" w:sz="4" w:space="0" w:color="auto"/>
            </w:tcBorders>
            <w:shd w:val="clear" w:color="auto" w:fill="auto"/>
            <w:vAlign w:val="center"/>
            <w:hideMark/>
          </w:tcPr>
          <w:p w14:paraId="48E9F9D4"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-0,296</w:t>
            </w:r>
          </w:p>
        </w:tc>
        <w:tc>
          <w:tcPr>
            <w:tcW w:w="1134" w:type="dxa"/>
            <w:tcBorders>
              <w:top w:val="nil"/>
              <w:left w:val="nil"/>
              <w:bottom w:val="single" w:sz="4" w:space="0" w:color="auto"/>
              <w:right w:val="single" w:sz="4" w:space="0" w:color="auto"/>
            </w:tcBorders>
            <w:shd w:val="clear" w:color="auto" w:fill="auto"/>
            <w:vAlign w:val="center"/>
            <w:hideMark/>
          </w:tcPr>
          <w:p w14:paraId="53220ACA"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0,021</w:t>
            </w:r>
          </w:p>
        </w:tc>
      </w:tr>
      <w:tr w:rsidR="004B2665" w:rsidRPr="005A3C94" w14:paraId="5F746B9E" w14:textId="77777777" w:rsidTr="002F3DCF">
        <w:trPr>
          <w:trHeight w:val="315"/>
          <w:jc w:val="center"/>
        </w:trPr>
        <w:tc>
          <w:tcPr>
            <w:tcW w:w="641" w:type="dxa"/>
            <w:vMerge/>
            <w:tcBorders>
              <w:top w:val="nil"/>
              <w:left w:val="single" w:sz="4" w:space="0" w:color="auto"/>
              <w:bottom w:val="single" w:sz="4" w:space="0" w:color="auto"/>
              <w:right w:val="single" w:sz="4" w:space="0" w:color="auto"/>
            </w:tcBorders>
            <w:vAlign w:val="center"/>
            <w:hideMark/>
          </w:tcPr>
          <w:p w14:paraId="3C5BC60E" w14:textId="77777777" w:rsidR="004B2665" w:rsidRPr="005A3C94" w:rsidRDefault="004B2665" w:rsidP="004B266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27C9CE58"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838" w:type="dxa"/>
            <w:tcBorders>
              <w:top w:val="nil"/>
              <w:left w:val="nil"/>
              <w:bottom w:val="single" w:sz="4" w:space="0" w:color="auto"/>
              <w:right w:val="single" w:sz="4" w:space="0" w:color="auto"/>
            </w:tcBorders>
            <w:shd w:val="clear" w:color="auto" w:fill="auto"/>
            <w:vAlign w:val="center"/>
            <w:hideMark/>
          </w:tcPr>
          <w:p w14:paraId="03FDD5D9"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-0,124</w:t>
            </w:r>
          </w:p>
        </w:tc>
        <w:tc>
          <w:tcPr>
            <w:tcW w:w="1134" w:type="dxa"/>
            <w:tcBorders>
              <w:top w:val="nil"/>
              <w:left w:val="nil"/>
              <w:bottom w:val="single" w:sz="4" w:space="0" w:color="auto"/>
              <w:right w:val="single" w:sz="4" w:space="0" w:color="auto"/>
            </w:tcBorders>
            <w:shd w:val="clear" w:color="auto" w:fill="auto"/>
            <w:vAlign w:val="center"/>
            <w:hideMark/>
          </w:tcPr>
          <w:p w14:paraId="3C018B12"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0,209</w:t>
            </w:r>
          </w:p>
        </w:tc>
        <w:tc>
          <w:tcPr>
            <w:tcW w:w="992" w:type="dxa"/>
            <w:tcBorders>
              <w:top w:val="nil"/>
              <w:left w:val="nil"/>
              <w:bottom w:val="single" w:sz="4" w:space="0" w:color="auto"/>
              <w:right w:val="single" w:sz="4" w:space="0" w:color="auto"/>
            </w:tcBorders>
            <w:shd w:val="clear" w:color="auto" w:fill="auto"/>
            <w:vAlign w:val="center"/>
            <w:hideMark/>
          </w:tcPr>
          <w:p w14:paraId="224115F2"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-0,257</w:t>
            </w:r>
          </w:p>
        </w:tc>
        <w:tc>
          <w:tcPr>
            <w:tcW w:w="1134" w:type="dxa"/>
            <w:tcBorders>
              <w:top w:val="nil"/>
              <w:left w:val="nil"/>
              <w:bottom w:val="single" w:sz="4" w:space="0" w:color="auto"/>
              <w:right w:val="single" w:sz="4" w:space="0" w:color="auto"/>
            </w:tcBorders>
            <w:shd w:val="clear" w:color="auto" w:fill="auto"/>
            <w:vAlign w:val="center"/>
            <w:hideMark/>
          </w:tcPr>
          <w:p w14:paraId="35F3A7AD"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-0,259</w:t>
            </w:r>
          </w:p>
        </w:tc>
      </w:tr>
      <w:tr w:rsidR="004B2665" w:rsidRPr="005A3C94" w14:paraId="659D1A12" w14:textId="77777777" w:rsidTr="002F3DCF">
        <w:trPr>
          <w:trHeight w:val="315"/>
          <w:jc w:val="center"/>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0516917"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4 tárgy</w:t>
            </w:r>
          </w:p>
        </w:tc>
        <w:tc>
          <w:tcPr>
            <w:tcW w:w="1782" w:type="dxa"/>
            <w:tcBorders>
              <w:top w:val="nil"/>
              <w:left w:val="nil"/>
              <w:bottom w:val="single" w:sz="4" w:space="0" w:color="auto"/>
              <w:right w:val="single" w:sz="4" w:space="0" w:color="auto"/>
            </w:tcBorders>
            <w:shd w:val="clear" w:color="auto" w:fill="auto"/>
            <w:vAlign w:val="center"/>
            <w:hideMark/>
          </w:tcPr>
          <w:p w14:paraId="1E393EEC"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838" w:type="dxa"/>
            <w:tcBorders>
              <w:top w:val="nil"/>
              <w:left w:val="nil"/>
              <w:bottom w:val="single" w:sz="4" w:space="0" w:color="auto"/>
              <w:right w:val="single" w:sz="4" w:space="0" w:color="auto"/>
            </w:tcBorders>
            <w:shd w:val="clear" w:color="auto" w:fill="auto"/>
            <w:vAlign w:val="center"/>
            <w:hideMark/>
          </w:tcPr>
          <w:p w14:paraId="152F939E"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0,424</w:t>
            </w:r>
          </w:p>
        </w:tc>
        <w:tc>
          <w:tcPr>
            <w:tcW w:w="1134" w:type="dxa"/>
            <w:tcBorders>
              <w:top w:val="nil"/>
              <w:left w:val="nil"/>
              <w:bottom w:val="single" w:sz="4" w:space="0" w:color="auto"/>
              <w:right w:val="single" w:sz="4" w:space="0" w:color="auto"/>
            </w:tcBorders>
            <w:shd w:val="clear" w:color="auto" w:fill="auto"/>
            <w:vAlign w:val="center"/>
            <w:hideMark/>
          </w:tcPr>
          <w:p w14:paraId="5D3ECA7F"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0,364</w:t>
            </w:r>
          </w:p>
        </w:tc>
        <w:tc>
          <w:tcPr>
            <w:tcW w:w="992" w:type="dxa"/>
            <w:tcBorders>
              <w:top w:val="nil"/>
              <w:left w:val="nil"/>
              <w:bottom w:val="single" w:sz="4" w:space="0" w:color="auto"/>
              <w:right w:val="single" w:sz="4" w:space="0" w:color="auto"/>
            </w:tcBorders>
            <w:shd w:val="clear" w:color="auto" w:fill="auto"/>
            <w:vAlign w:val="center"/>
            <w:hideMark/>
          </w:tcPr>
          <w:p w14:paraId="4CEB4985"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0,182</w:t>
            </w:r>
          </w:p>
        </w:tc>
        <w:tc>
          <w:tcPr>
            <w:tcW w:w="1134" w:type="dxa"/>
            <w:tcBorders>
              <w:top w:val="nil"/>
              <w:left w:val="nil"/>
              <w:bottom w:val="single" w:sz="4" w:space="0" w:color="auto"/>
              <w:right w:val="single" w:sz="4" w:space="0" w:color="auto"/>
            </w:tcBorders>
            <w:shd w:val="clear" w:color="auto" w:fill="auto"/>
            <w:vAlign w:val="center"/>
            <w:hideMark/>
          </w:tcPr>
          <w:p w14:paraId="797055EB"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0,257</w:t>
            </w:r>
          </w:p>
        </w:tc>
      </w:tr>
      <w:tr w:rsidR="004B2665" w:rsidRPr="005A3C94" w14:paraId="5A832148" w14:textId="77777777" w:rsidTr="002F3DCF">
        <w:trPr>
          <w:trHeight w:val="315"/>
          <w:jc w:val="center"/>
        </w:trPr>
        <w:tc>
          <w:tcPr>
            <w:tcW w:w="641" w:type="dxa"/>
            <w:vMerge/>
            <w:tcBorders>
              <w:top w:val="nil"/>
              <w:left w:val="single" w:sz="4" w:space="0" w:color="auto"/>
              <w:bottom w:val="single" w:sz="4" w:space="0" w:color="auto"/>
              <w:right w:val="single" w:sz="4" w:space="0" w:color="auto"/>
            </w:tcBorders>
            <w:vAlign w:val="center"/>
            <w:hideMark/>
          </w:tcPr>
          <w:p w14:paraId="56FE0E90" w14:textId="77777777" w:rsidR="004B2665" w:rsidRPr="005A3C94" w:rsidRDefault="004B2665" w:rsidP="004B266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6B8184F9"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838" w:type="dxa"/>
            <w:tcBorders>
              <w:top w:val="nil"/>
              <w:left w:val="nil"/>
              <w:bottom w:val="single" w:sz="4" w:space="0" w:color="auto"/>
              <w:right w:val="single" w:sz="4" w:space="0" w:color="auto"/>
            </w:tcBorders>
            <w:shd w:val="clear" w:color="auto" w:fill="auto"/>
            <w:vAlign w:val="center"/>
            <w:hideMark/>
          </w:tcPr>
          <w:p w14:paraId="62D73C6A"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0,065</w:t>
            </w:r>
          </w:p>
        </w:tc>
        <w:tc>
          <w:tcPr>
            <w:tcW w:w="1134" w:type="dxa"/>
            <w:tcBorders>
              <w:top w:val="nil"/>
              <w:left w:val="nil"/>
              <w:bottom w:val="single" w:sz="4" w:space="0" w:color="auto"/>
              <w:right w:val="single" w:sz="4" w:space="0" w:color="auto"/>
            </w:tcBorders>
            <w:shd w:val="clear" w:color="auto" w:fill="auto"/>
            <w:vAlign w:val="center"/>
            <w:hideMark/>
          </w:tcPr>
          <w:p w14:paraId="7635A75D"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-0,141</w:t>
            </w:r>
          </w:p>
        </w:tc>
        <w:tc>
          <w:tcPr>
            <w:tcW w:w="992" w:type="dxa"/>
            <w:tcBorders>
              <w:top w:val="nil"/>
              <w:left w:val="nil"/>
              <w:bottom w:val="single" w:sz="4" w:space="0" w:color="auto"/>
              <w:right w:val="single" w:sz="4" w:space="0" w:color="auto"/>
            </w:tcBorders>
            <w:shd w:val="clear" w:color="auto" w:fill="auto"/>
            <w:vAlign w:val="center"/>
            <w:hideMark/>
          </w:tcPr>
          <w:p w14:paraId="03629A78"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-0,16</w:t>
            </w:r>
          </w:p>
        </w:tc>
        <w:tc>
          <w:tcPr>
            <w:tcW w:w="1134" w:type="dxa"/>
            <w:tcBorders>
              <w:top w:val="nil"/>
              <w:left w:val="nil"/>
              <w:bottom w:val="single" w:sz="4" w:space="0" w:color="auto"/>
              <w:right w:val="single" w:sz="4" w:space="0" w:color="auto"/>
            </w:tcBorders>
            <w:shd w:val="clear" w:color="auto" w:fill="auto"/>
            <w:vAlign w:val="center"/>
            <w:hideMark/>
          </w:tcPr>
          <w:p w14:paraId="78CC8E7C"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-0,048</w:t>
            </w:r>
          </w:p>
        </w:tc>
      </w:tr>
      <w:tr w:rsidR="004B2665" w:rsidRPr="005A3C94" w14:paraId="289E2236" w14:textId="77777777" w:rsidTr="00661F4B">
        <w:trPr>
          <w:trHeight w:val="362"/>
          <w:jc w:val="center"/>
        </w:trPr>
        <w:tc>
          <w:tcPr>
            <w:tcW w:w="641" w:type="dxa"/>
            <w:vMerge w:val="restart"/>
            <w:tcBorders>
              <w:top w:val="nil"/>
              <w:left w:val="single" w:sz="4" w:space="0" w:color="auto"/>
              <w:bottom w:val="single" w:sz="8" w:space="0" w:color="000000"/>
              <w:right w:val="single" w:sz="4" w:space="0" w:color="auto"/>
            </w:tcBorders>
            <w:shd w:val="clear" w:color="auto" w:fill="auto"/>
            <w:vAlign w:val="center"/>
            <w:hideMark/>
          </w:tcPr>
          <w:p w14:paraId="73A0B945"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5 tárgy</w:t>
            </w:r>
          </w:p>
        </w:tc>
        <w:tc>
          <w:tcPr>
            <w:tcW w:w="1782" w:type="dxa"/>
            <w:tcBorders>
              <w:top w:val="nil"/>
              <w:left w:val="nil"/>
              <w:bottom w:val="single" w:sz="4" w:space="0" w:color="auto"/>
              <w:right w:val="single" w:sz="4" w:space="0" w:color="auto"/>
            </w:tcBorders>
            <w:shd w:val="clear" w:color="auto" w:fill="auto"/>
            <w:vAlign w:val="center"/>
            <w:hideMark/>
          </w:tcPr>
          <w:p w14:paraId="77F07E67"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838" w:type="dxa"/>
            <w:tcBorders>
              <w:top w:val="nil"/>
              <w:left w:val="nil"/>
              <w:bottom w:val="single" w:sz="4" w:space="0" w:color="auto"/>
              <w:right w:val="single" w:sz="4" w:space="0" w:color="auto"/>
            </w:tcBorders>
            <w:shd w:val="clear" w:color="auto" w:fill="auto"/>
            <w:vAlign w:val="center"/>
            <w:hideMark/>
          </w:tcPr>
          <w:p w14:paraId="602E3CD0"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0,137</w:t>
            </w:r>
          </w:p>
        </w:tc>
        <w:tc>
          <w:tcPr>
            <w:tcW w:w="1134" w:type="dxa"/>
            <w:tcBorders>
              <w:top w:val="nil"/>
              <w:left w:val="nil"/>
              <w:bottom w:val="single" w:sz="4" w:space="0" w:color="auto"/>
              <w:right w:val="single" w:sz="4" w:space="0" w:color="auto"/>
            </w:tcBorders>
            <w:shd w:val="clear" w:color="auto" w:fill="auto"/>
            <w:vAlign w:val="center"/>
            <w:hideMark/>
          </w:tcPr>
          <w:p w14:paraId="68DFDA17"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-0,629</w:t>
            </w:r>
          </w:p>
        </w:tc>
        <w:tc>
          <w:tcPr>
            <w:tcW w:w="992" w:type="dxa"/>
            <w:tcBorders>
              <w:top w:val="nil"/>
              <w:left w:val="nil"/>
              <w:bottom w:val="single" w:sz="4" w:space="0" w:color="auto"/>
              <w:right w:val="single" w:sz="4" w:space="0" w:color="auto"/>
            </w:tcBorders>
            <w:shd w:val="clear" w:color="auto" w:fill="auto"/>
            <w:vAlign w:val="center"/>
            <w:hideMark/>
          </w:tcPr>
          <w:p w14:paraId="6EBE9F16"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0,573</w:t>
            </w:r>
          </w:p>
        </w:tc>
        <w:tc>
          <w:tcPr>
            <w:tcW w:w="1134" w:type="dxa"/>
            <w:tcBorders>
              <w:top w:val="nil"/>
              <w:left w:val="nil"/>
              <w:bottom w:val="single" w:sz="4" w:space="0" w:color="auto"/>
              <w:right w:val="single" w:sz="4" w:space="0" w:color="auto"/>
            </w:tcBorders>
            <w:shd w:val="clear" w:color="auto" w:fill="auto"/>
            <w:vAlign w:val="center"/>
            <w:hideMark/>
          </w:tcPr>
          <w:p w14:paraId="21E9FD10"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-0,295</w:t>
            </w:r>
          </w:p>
        </w:tc>
      </w:tr>
      <w:tr w:rsidR="004B2665" w:rsidRPr="005A3C94" w14:paraId="46F75E9C" w14:textId="77777777" w:rsidTr="002F3DCF">
        <w:trPr>
          <w:trHeight w:val="330"/>
          <w:jc w:val="center"/>
        </w:trPr>
        <w:tc>
          <w:tcPr>
            <w:tcW w:w="641" w:type="dxa"/>
            <w:vMerge/>
            <w:tcBorders>
              <w:top w:val="nil"/>
              <w:left w:val="single" w:sz="4" w:space="0" w:color="auto"/>
              <w:bottom w:val="single" w:sz="8" w:space="0" w:color="000000"/>
              <w:right w:val="single" w:sz="4" w:space="0" w:color="auto"/>
            </w:tcBorders>
            <w:vAlign w:val="center"/>
            <w:hideMark/>
          </w:tcPr>
          <w:p w14:paraId="55932B76" w14:textId="77777777" w:rsidR="004B2665" w:rsidRPr="005A3C94" w:rsidRDefault="004B2665" w:rsidP="004B266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8" w:space="0" w:color="auto"/>
              <w:right w:val="single" w:sz="4" w:space="0" w:color="auto"/>
            </w:tcBorders>
            <w:shd w:val="clear" w:color="000000" w:fill="D9D9D9"/>
            <w:vAlign w:val="center"/>
            <w:hideMark/>
          </w:tcPr>
          <w:p w14:paraId="09F73067"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838" w:type="dxa"/>
            <w:tcBorders>
              <w:top w:val="nil"/>
              <w:left w:val="nil"/>
              <w:bottom w:val="single" w:sz="8" w:space="0" w:color="auto"/>
              <w:right w:val="single" w:sz="4" w:space="0" w:color="auto"/>
            </w:tcBorders>
            <w:shd w:val="clear" w:color="auto" w:fill="auto"/>
            <w:vAlign w:val="center"/>
            <w:hideMark/>
          </w:tcPr>
          <w:p w14:paraId="6B088D6C"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-0,019</w:t>
            </w:r>
          </w:p>
        </w:tc>
        <w:tc>
          <w:tcPr>
            <w:tcW w:w="1134" w:type="dxa"/>
            <w:tcBorders>
              <w:top w:val="nil"/>
              <w:left w:val="nil"/>
              <w:bottom w:val="single" w:sz="8" w:space="0" w:color="auto"/>
              <w:right w:val="single" w:sz="4" w:space="0" w:color="auto"/>
            </w:tcBorders>
            <w:shd w:val="clear" w:color="auto" w:fill="auto"/>
            <w:vAlign w:val="center"/>
            <w:hideMark/>
          </w:tcPr>
          <w:p w14:paraId="4226564E"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-0,113</w:t>
            </w:r>
          </w:p>
        </w:tc>
        <w:tc>
          <w:tcPr>
            <w:tcW w:w="992" w:type="dxa"/>
            <w:tcBorders>
              <w:top w:val="nil"/>
              <w:left w:val="nil"/>
              <w:bottom w:val="single" w:sz="8" w:space="0" w:color="auto"/>
              <w:right w:val="single" w:sz="4" w:space="0" w:color="auto"/>
            </w:tcBorders>
            <w:shd w:val="clear" w:color="auto" w:fill="auto"/>
            <w:vAlign w:val="center"/>
            <w:hideMark/>
          </w:tcPr>
          <w:p w14:paraId="53C9C1BB"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0,454</w:t>
            </w:r>
          </w:p>
        </w:tc>
        <w:tc>
          <w:tcPr>
            <w:tcW w:w="1134" w:type="dxa"/>
            <w:tcBorders>
              <w:top w:val="nil"/>
              <w:left w:val="nil"/>
              <w:bottom w:val="single" w:sz="8" w:space="0" w:color="auto"/>
              <w:right w:val="single" w:sz="4" w:space="0" w:color="auto"/>
            </w:tcBorders>
            <w:shd w:val="clear" w:color="auto" w:fill="auto"/>
            <w:vAlign w:val="center"/>
            <w:hideMark/>
          </w:tcPr>
          <w:p w14:paraId="7E1A0323"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-0,115</w:t>
            </w:r>
          </w:p>
        </w:tc>
      </w:tr>
      <w:tr w:rsidR="004B2665" w:rsidRPr="005A3C94" w14:paraId="166CD9EC" w14:textId="77777777" w:rsidTr="002F3DCF">
        <w:trPr>
          <w:trHeight w:val="315"/>
          <w:jc w:val="center"/>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AF55B1E"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Total</w:t>
            </w:r>
          </w:p>
        </w:tc>
        <w:tc>
          <w:tcPr>
            <w:tcW w:w="1782" w:type="dxa"/>
            <w:tcBorders>
              <w:top w:val="nil"/>
              <w:left w:val="nil"/>
              <w:bottom w:val="single" w:sz="4" w:space="0" w:color="auto"/>
              <w:right w:val="single" w:sz="4" w:space="0" w:color="auto"/>
            </w:tcBorders>
            <w:shd w:val="clear" w:color="auto" w:fill="auto"/>
            <w:vAlign w:val="center"/>
            <w:hideMark/>
          </w:tcPr>
          <w:p w14:paraId="51B55C93"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838" w:type="dxa"/>
            <w:tcBorders>
              <w:top w:val="nil"/>
              <w:left w:val="nil"/>
              <w:bottom w:val="single" w:sz="4" w:space="0" w:color="auto"/>
              <w:right w:val="single" w:sz="4" w:space="0" w:color="auto"/>
            </w:tcBorders>
            <w:shd w:val="clear" w:color="auto" w:fill="auto"/>
            <w:vAlign w:val="center"/>
            <w:hideMark/>
          </w:tcPr>
          <w:p w14:paraId="35AD429A"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0,085</w:t>
            </w:r>
          </w:p>
        </w:tc>
        <w:tc>
          <w:tcPr>
            <w:tcW w:w="1134" w:type="dxa"/>
            <w:tcBorders>
              <w:top w:val="nil"/>
              <w:left w:val="nil"/>
              <w:bottom w:val="single" w:sz="4" w:space="0" w:color="auto"/>
              <w:right w:val="single" w:sz="4" w:space="0" w:color="auto"/>
            </w:tcBorders>
            <w:shd w:val="clear" w:color="auto" w:fill="auto"/>
            <w:vAlign w:val="center"/>
            <w:hideMark/>
          </w:tcPr>
          <w:p w14:paraId="52E0E78F"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0,242</w:t>
            </w:r>
          </w:p>
        </w:tc>
        <w:tc>
          <w:tcPr>
            <w:tcW w:w="992" w:type="dxa"/>
            <w:tcBorders>
              <w:top w:val="nil"/>
              <w:left w:val="nil"/>
              <w:bottom w:val="single" w:sz="4" w:space="0" w:color="auto"/>
              <w:right w:val="single" w:sz="4" w:space="0" w:color="auto"/>
            </w:tcBorders>
            <w:shd w:val="clear" w:color="auto" w:fill="auto"/>
            <w:vAlign w:val="center"/>
            <w:hideMark/>
          </w:tcPr>
          <w:p w14:paraId="19203C15"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0,04</w:t>
            </w:r>
          </w:p>
        </w:tc>
        <w:tc>
          <w:tcPr>
            <w:tcW w:w="1134" w:type="dxa"/>
            <w:tcBorders>
              <w:top w:val="nil"/>
              <w:left w:val="nil"/>
              <w:bottom w:val="single" w:sz="4" w:space="0" w:color="auto"/>
              <w:right w:val="single" w:sz="4" w:space="0" w:color="auto"/>
            </w:tcBorders>
            <w:shd w:val="clear" w:color="auto" w:fill="auto"/>
            <w:vAlign w:val="center"/>
            <w:hideMark/>
          </w:tcPr>
          <w:p w14:paraId="04ADB106"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0,073</w:t>
            </w:r>
          </w:p>
        </w:tc>
      </w:tr>
      <w:tr w:rsidR="004B2665" w:rsidRPr="005A3C94" w14:paraId="363CBCBE" w14:textId="77777777" w:rsidTr="002F3DCF">
        <w:trPr>
          <w:trHeight w:val="315"/>
          <w:jc w:val="center"/>
        </w:trPr>
        <w:tc>
          <w:tcPr>
            <w:tcW w:w="641" w:type="dxa"/>
            <w:vMerge/>
            <w:tcBorders>
              <w:top w:val="nil"/>
              <w:left w:val="single" w:sz="4" w:space="0" w:color="auto"/>
              <w:bottom w:val="single" w:sz="4" w:space="0" w:color="auto"/>
              <w:right w:val="single" w:sz="4" w:space="0" w:color="auto"/>
            </w:tcBorders>
            <w:vAlign w:val="center"/>
            <w:hideMark/>
          </w:tcPr>
          <w:p w14:paraId="68F0E2B0" w14:textId="77777777" w:rsidR="004B2665" w:rsidRPr="005A3C94" w:rsidRDefault="004B2665" w:rsidP="004B266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7C355D5D"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838" w:type="dxa"/>
            <w:tcBorders>
              <w:top w:val="nil"/>
              <w:left w:val="nil"/>
              <w:bottom w:val="single" w:sz="4" w:space="0" w:color="auto"/>
              <w:right w:val="single" w:sz="4" w:space="0" w:color="auto"/>
            </w:tcBorders>
            <w:shd w:val="clear" w:color="auto" w:fill="auto"/>
            <w:vAlign w:val="center"/>
            <w:hideMark/>
          </w:tcPr>
          <w:p w14:paraId="264BBA6A"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-0,085</w:t>
            </w:r>
          </w:p>
        </w:tc>
        <w:tc>
          <w:tcPr>
            <w:tcW w:w="1134" w:type="dxa"/>
            <w:tcBorders>
              <w:top w:val="nil"/>
              <w:left w:val="nil"/>
              <w:bottom w:val="single" w:sz="4" w:space="0" w:color="auto"/>
              <w:right w:val="single" w:sz="4" w:space="0" w:color="auto"/>
            </w:tcBorders>
            <w:shd w:val="clear" w:color="auto" w:fill="auto"/>
            <w:vAlign w:val="center"/>
            <w:hideMark/>
          </w:tcPr>
          <w:p w14:paraId="423B3146"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-0,242</w:t>
            </w:r>
          </w:p>
        </w:tc>
        <w:tc>
          <w:tcPr>
            <w:tcW w:w="992" w:type="dxa"/>
            <w:tcBorders>
              <w:top w:val="nil"/>
              <w:left w:val="nil"/>
              <w:bottom w:val="single" w:sz="4" w:space="0" w:color="auto"/>
              <w:right w:val="single" w:sz="4" w:space="0" w:color="auto"/>
            </w:tcBorders>
            <w:shd w:val="clear" w:color="auto" w:fill="auto"/>
            <w:vAlign w:val="center"/>
            <w:hideMark/>
          </w:tcPr>
          <w:p w14:paraId="73DE302E"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-0,02</w:t>
            </w:r>
          </w:p>
        </w:tc>
        <w:tc>
          <w:tcPr>
            <w:tcW w:w="1134" w:type="dxa"/>
            <w:tcBorders>
              <w:top w:val="nil"/>
              <w:left w:val="nil"/>
              <w:bottom w:val="single" w:sz="4" w:space="0" w:color="auto"/>
              <w:right w:val="single" w:sz="4" w:space="0" w:color="auto"/>
            </w:tcBorders>
            <w:shd w:val="clear" w:color="auto" w:fill="auto"/>
            <w:vAlign w:val="center"/>
            <w:hideMark/>
          </w:tcPr>
          <w:p w14:paraId="2DEB482D"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0,006</w:t>
            </w:r>
          </w:p>
        </w:tc>
      </w:tr>
    </w:tbl>
    <w:p w14:paraId="4A3691D8" w14:textId="39FB73AE" w:rsidR="000854EB" w:rsidRPr="00791FFF" w:rsidRDefault="00094F85" w:rsidP="008C67DC">
      <w:pPr>
        <w:spacing w:line="276" w:lineRule="auto"/>
        <w:jc w:val="both"/>
        <w:rPr>
          <w:rFonts w:ascii="Times New Roman" w:hAnsi="Times New Roman" w:cs="Times New Roman"/>
          <w:sz w:val="20"/>
          <w:szCs w:val="24"/>
        </w:rPr>
      </w:pPr>
      <w:r w:rsidRPr="005A3C94">
        <w:rPr>
          <w:rFonts w:ascii="Times New Roman" w:hAnsi="Times New Roman" w:cs="Times New Roman"/>
          <w:sz w:val="24"/>
          <w:szCs w:val="24"/>
        </w:rPr>
        <w:t>*</w:t>
      </w:r>
      <w:r w:rsidRPr="00791FFF">
        <w:rPr>
          <w:rFonts w:ascii="Times New Roman" w:hAnsi="Times New Roman" w:cs="Times New Roman"/>
          <w:sz w:val="20"/>
          <w:szCs w:val="24"/>
        </w:rPr>
        <w:t>nagyon alacsony esetszám, cellánként 1 eset</w:t>
      </w:r>
    </w:p>
    <w:p w14:paraId="4AEF5EAB" w14:textId="03AFDF37" w:rsidR="00200C00" w:rsidRPr="009E4F2E" w:rsidRDefault="00DF1D13" w:rsidP="00200C00">
      <w:pPr>
        <w:pStyle w:val="Kpalrs"/>
        <w:keepNext/>
        <w:rPr>
          <w:u w:val="single"/>
        </w:rPr>
      </w:pPr>
      <w:r>
        <w:fldChar w:fldCharType="begin"/>
      </w:r>
      <w:r>
        <w:instrText xml:space="preserve"> SEQ táblázat \* ARABIC </w:instrText>
      </w:r>
      <w:r>
        <w:fldChar w:fldCharType="separate"/>
      </w:r>
      <w:r w:rsidR="00DC5809">
        <w:rPr>
          <w:noProof/>
        </w:rPr>
        <w:t>3</w:t>
      </w:r>
      <w:r>
        <w:rPr>
          <w:noProof/>
        </w:rPr>
        <w:fldChar w:fldCharType="end"/>
      </w:r>
      <w:r w:rsidR="00200C00" w:rsidRPr="005A3C94">
        <w:t xml:space="preserve">. táblázat: A családi ellátottság szerinti átlagos standardizált pozitív válaszok eloszlása </w:t>
      </w:r>
      <w:r w:rsidR="00200C00" w:rsidRPr="009E4F2E">
        <w:rPr>
          <w:u w:val="single"/>
        </w:rPr>
        <w:t>kimenetkor</w:t>
      </w:r>
    </w:p>
    <w:tbl>
      <w:tblPr>
        <w:tblW w:w="6530" w:type="dxa"/>
        <w:jc w:val="center"/>
        <w:tblCellMar>
          <w:left w:w="70" w:type="dxa"/>
          <w:right w:w="70" w:type="dxa"/>
        </w:tblCellMar>
        <w:tblLook w:val="04A0" w:firstRow="1" w:lastRow="0" w:firstColumn="1" w:lastColumn="0" w:noHBand="0" w:noVBand="1"/>
      </w:tblPr>
      <w:tblGrid>
        <w:gridCol w:w="641"/>
        <w:gridCol w:w="1782"/>
        <w:gridCol w:w="1030"/>
        <w:gridCol w:w="1035"/>
        <w:gridCol w:w="941"/>
        <w:gridCol w:w="1101"/>
      </w:tblGrid>
      <w:tr w:rsidR="002F3DCF" w:rsidRPr="005A3C94" w14:paraId="60AEFB26" w14:textId="77777777" w:rsidTr="002F3DCF">
        <w:trPr>
          <w:trHeight w:val="945"/>
          <w:jc w:val="center"/>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84AE9" w14:textId="77777777" w:rsidR="002F3DCF" w:rsidRPr="005A3C94" w:rsidRDefault="002F3DCF" w:rsidP="002F3DC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 </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5AAED1DE"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Kontroll/kísérleti</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FB609FC"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Énkép</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05AA0EAC"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Szociális képesség</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6801955A"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Empátia</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1FCB98BB"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Tanulási motiváció</w:t>
            </w:r>
          </w:p>
        </w:tc>
      </w:tr>
      <w:tr w:rsidR="002F3DCF" w:rsidRPr="005A3C94" w14:paraId="56859BEA" w14:textId="77777777" w:rsidTr="002F3DCF">
        <w:trPr>
          <w:trHeight w:val="315"/>
          <w:jc w:val="center"/>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33E5CA01"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 tárgy</w:t>
            </w:r>
          </w:p>
        </w:tc>
        <w:tc>
          <w:tcPr>
            <w:tcW w:w="1782" w:type="dxa"/>
            <w:tcBorders>
              <w:top w:val="nil"/>
              <w:left w:val="nil"/>
              <w:bottom w:val="single" w:sz="4" w:space="0" w:color="auto"/>
              <w:right w:val="single" w:sz="4" w:space="0" w:color="auto"/>
            </w:tcBorders>
            <w:shd w:val="clear" w:color="auto" w:fill="auto"/>
            <w:vAlign w:val="center"/>
            <w:hideMark/>
          </w:tcPr>
          <w:p w14:paraId="1183631B" w14:textId="77777777" w:rsidR="002F3DCF" w:rsidRPr="005A3C94" w:rsidRDefault="002F3DCF" w:rsidP="002F3DC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030" w:type="dxa"/>
            <w:tcBorders>
              <w:top w:val="nil"/>
              <w:left w:val="nil"/>
              <w:bottom w:val="single" w:sz="4" w:space="0" w:color="auto"/>
              <w:right w:val="single" w:sz="4" w:space="0" w:color="auto"/>
            </w:tcBorders>
            <w:shd w:val="clear" w:color="000000" w:fill="C5E0B3"/>
            <w:vAlign w:val="center"/>
            <w:hideMark/>
          </w:tcPr>
          <w:p w14:paraId="787DB502"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0,023</w:t>
            </w:r>
          </w:p>
        </w:tc>
        <w:tc>
          <w:tcPr>
            <w:tcW w:w="1035" w:type="dxa"/>
            <w:tcBorders>
              <w:top w:val="nil"/>
              <w:left w:val="nil"/>
              <w:bottom w:val="single" w:sz="4" w:space="0" w:color="auto"/>
              <w:right w:val="single" w:sz="4" w:space="0" w:color="auto"/>
            </w:tcBorders>
            <w:shd w:val="clear" w:color="000000" w:fill="E9ABAB"/>
            <w:vAlign w:val="center"/>
            <w:hideMark/>
          </w:tcPr>
          <w:p w14:paraId="09960265"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0,127</w:t>
            </w:r>
          </w:p>
        </w:tc>
        <w:tc>
          <w:tcPr>
            <w:tcW w:w="941" w:type="dxa"/>
            <w:tcBorders>
              <w:top w:val="nil"/>
              <w:left w:val="nil"/>
              <w:bottom w:val="single" w:sz="4" w:space="0" w:color="auto"/>
              <w:right w:val="single" w:sz="4" w:space="0" w:color="auto"/>
            </w:tcBorders>
            <w:shd w:val="clear" w:color="000000" w:fill="C5E0B3"/>
            <w:vAlign w:val="center"/>
            <w:hideMark/>
          </w:tcPr>
          <w:p w14:paraId="5AE6891F"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0,391</w:t>
            </w:r>
          </w:p>
        </w:tc>
        <w:tc>
          <w:tcPr>
            <w:tcW w:w="1101" w:type="dxa"/>
            <w:tcBorders>
              <w:top w:val="nil"/>
              <w:left w:val="nil"/>
              <w:bottom w:val="single" w:sz="4" w:space="0" w:color="auto"/>
              <w:right w:val="single" w:sz="4" w:space="0" w:color="auto"/>
            </w:tcBorders>
            <w:shd w:val="clear" w:color="000000" w:fill="C5E0B3"/>
            <w:vAlign w:val="center"/>
            <w:hideMark/>
          </w:tcPr>
          <w:p w14:paraId="59275F73"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0,452</w:t>
            </w:r>
          </w:p>
        </w:tc>
      </w:tr>
      <w:tr w:rsidR="002F3DCF" w:rsidRPr="005A3C94" w14:paraId="30B02CFC" w14:textId="77777777" w:rsidTr="002F3DCF">
        <w:trPr>
          <w:trHeight w:val="298"/>
          <w:jc w:val="center"/>
        </w:trPr>
        <w:tc>
          <w:tcPr>
            <w:tcW w:w="641" w:type="dxa"/>
            <w:vMerge/>
            <w:tcBorders>
              <w:top w:val="nil"/>
              <w:left w:val="single" w:sz="4" w:space="0" w:color="auto"/>
              <w:bottom w:val="single" w:sz="4" w:space="0" w:color="auto"/>
              <w:right w:val="single" w:sz="4" w:space="0" w:color="auto"/>
            </w:tcBorders>
            <w:vAlign w:val="center"/>
            <w:hideMark/>
          </w:tcPr>
          <w:p w14:paraId="5EBB3161" w14:textId="77777777" w:rsidR="002F3DCF" w:rsidRPr="005A3C94" w:rsidRDefault="002F3DCF" w:rsidP="002F3DCF">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4E623A1E" w14:textId="77777777" w:rsidR="002F3DCF" w:rsidRPr="005A3C94" w:rsidRDefault="002F3DCF" w:rsidP="002F3DC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030" w:type="dxa"/>
            <w:tcBorders>
              <w:top w:val="nil"/>
              <w:left w:val="nil"/>
              <w:bottom w:val="single" w:sz="4" w:space="0" w:color="auto"/>
              <w:right w:val="single" w:sz="4" w:space="0" w:color="auto"/>
            </w:tcBorders>
            <w:shd w:val="clear" w:color="000000" w:fill="FFFFFF"/>
            <w:vAlign w:val="center"/>
            <w:hideMark/>
          </w:tcPr>
          <w:p w14:paraId="295C6F9C"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-0,338</w:t>
            </w:r>
          </w:p>
        </w:tc>
        <w:tc>
          <w:tcPr>
            <w:tcW w:w="1035" w:type="dxa"/>
            <w:tcBorders>
              <w:top w:val="nil"/>
              <w:left w:val="nil"/>
              <w:bottom w:val="single" w:sz="4" w:space="0" w:color="auto"/>
              <w:right w:val="single" w:sz="4" w:space="0" w:color="auto"/>
            </w:tcBorders>
            <w:shd w:val="clear" w:color="000000" w:fill="C5E0B3"/>
            <w:vAlign w:val="center"/>
            <w:hideMark/>
          </w:tcPr>
          <w:p w14:paraId="5A327DED"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-0,454</w:t>
            </w:r>
          </w:p>
        </w:tc>
        <w:tc>
          <w:tcPr>
            <w:tcW w:w="941" w:type="dxa"/>
            <w:tcBorders>
              <w:top w:val="nil"/>
              <w:left w:val="nil"/>
              <w:bottom w:val="single" w:sz="4" w:space="0" w:color="auto"/>
              <w:right w:val="single" w:sz="4" w:space="0" w:color="auto"/>
            </w:tcBorders>
            <w:shd w:val="clear" w:color="000000" w:fill="C5E0B3"/>
            <w:vAlign w:val="center"/>
            <w:hideMark/>
          </w:tcPr>
          <w:p w14:paraId="5E15C729"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-0,015</w:t>
            </w:r>
          </w:p>
        </w:tc>
        <w:tc>
          <w:tcPr>
            <w:tcW w:w="1101" w:type="dxa"/>
            <w:tcBorders>
              <w:top w:val="nil"/>
              <w:left w:val="nil"/>
              <w:bottom w:val="single" w:sz="4" w:space="0" w:color="auto"/>
              <w:right w:val="single" w:sz="4" w:space="0" w:color="auto"/>
            </w:tcBorders>
            <w:shd w:val="clear" w:color="000000" w:fill="E9ABAB"/>
            <w:vAlign w:val="center"/>
            <w:hideMark/>
          </w:tcPr>
          <w:p w14:paraId="0486567A"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-0,198</w:t>
            </w:r>
          </w:p>
        </w:tc>
      </w:tr>
      <w:tr w:rsidR="002F3DCF" w:rsidRPr="005A3C94" w14:paraId="1290DFF6" w14:textId="77777777" w:rsidTr="002F3DCF">
        <w:trPr>
          <w:trHeight w:val="315"/>
          <w:jc w:val="center"/>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1BA8EE5"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3 tárgy</w:t>
            </w:r>
          </w:p>
        </w:tc>
        <w:tc>
          <w:tcPr>
            <w:tcW w:w="1782" w:type="dxa"/>
            <w:tcBorders>
              <w:top w:val="nil"/>
              <w:left w:val="nil"/>
              <w:bottom w:val="single" w:sz="4" w:space="0" w:color="auto"/>
              <w:right w:val="single" w:sz="4" w:space="0" w:color="auto"/>
            </w:tcBorders>
            <w:shd w:val="clear" w:color="auto" w:fill="auto"/>
            <w:vAlign w:val="center"/>
            <w:hideMark/>
          </w:tcPr>
          <w:p w14:paraId="1D08CEBF" w14:textId="77777777" w:rsidR="002F3DCF" w:rsidRPr="005A3C94" w:rsidRDefault="002F3DCF" w:rsidP="002F3DC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030" w:type="dxa"/>
            <w:tcBorders>
              <w:top w:val="nil"/>
              <w:left w:val="nil"/>
              <w:bottom w:val="single" w:sz="4" w:space="0" w:color="auto"/>
              <w:right w:val="single" w:sz="4" w:space="0" w:color="auto"/>
            </w:tcBorders>
            <w:shd w:val="clear" w:color="000000" w:fill="E9ABAB"/>
            <w:vAlign w:val="center"/>
            <w:hideMark/>
          </w:tcPr>
          <w:p w14:paraId="75F02A0F"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-0,32</w:t>
            </w:r>
          </w:p>
        </w:tc>
        <w:tc>
          <w:tcPr>
            <w:tcW w:w="1035" w:type="dxa"/>
            <w:tcBorders>
              <w:top w:val="nil"/>
              <w:left w:val="nil"/>
              <w:bottom w:val="single" w:sz="4" w:space="0" w:color="auto"/>
              <w:right w:val="single" w:sz="4" w:space="0" w:color="auto"/>
            </w:tcBorders>
            <w:shd w:val="clear" w:color="000000" w:fill="E9ABAB"/>
            <w:vAlign w:val="center"/>
            <w:hideMark/>
          </w:tcPr>
          <w:p w14:paraId="198A75E4"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-0,059</w:t>
            </w:r>
          </w:p>
        </w:tc>
        <w:tc>
          <w:tcPr>
            <w:tcW w:w="941" w:type="dxa"/>
            <w:tcBorders>
              <w:top w:val="nil"/>
              <w:left w:val="nil"/>
              <w:bottom w:val="single" w:sz="4" w:space="0" w:color="auto"/>
              <w:right w:val="single" w:sz="4" w:space="0" w:color="auto"/>
            </w:tcBorders>
            <w:shd w:val="clear" w:color="000000" w:fill="C5E0B3"/>
            <w:vAlign w:val="center"/>
            <w:hideMark/>
          </w:tcPr>
          <w:p w14:paraId="6FD969CB"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-0,103</w:t>
            </w:r>
          </w:p>
        </w:tc>
        <w:tc>
          <w:tcPr>
            <w:tcW w:w="1101" w:type="dxa"/>
            <w:tcBorders>
              <w:top w:val="nil"/>
              <w:left w:val="nil"/>
              <w:bottom w:val="single" w:sz="4" w:space="0" w:color="auto"/>
              <w:right w:val="single" w:sz="4" w:space="0" w:color="auto"/>
            </w:tcBorders>
            <w:shd w:val="clear" w:color="000000" w:fill="C5E0B3"/>
            <w:vAlign w:val="center"/>
            <w:hideMark/>
          </w:tcPr>
          <w:p w14:paraId="02BC72E8"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0,058</w:t>
            </w:r>
          </w:p>
        </w:tc>
      </w:tr>
      <w:tr w:rsidR="002F3DCF" w:rsidRPr="005A3C94" w14:paraId="51AA7650" w14:textId="77777777" w:rsidTr="002F3DCF">
        <w:trPr>
          <w:trHeight w:val="238"/>
          <w:jc w:val="center"/>
        </w:trPr>
        <w:tc>
          <w:tcPr>
            <w:tcW w:w="641" w:type="dxa"/>
            <w:vMerge/>
            <w:tcBorders>
              <w:top w:val="nil"/>
              <w:left w:val="single" w:sz="4" w:space="0" w:color="auto"/>
              <w:bottom w:val="single" w:sz="4" w:space="0" w:color="auto"/>
              <w:right w:val="single" w:sz="4" w:space="0" w:color="auto"/>
            </w:tcBorders>
            <w:vAlign w:val="center"/>
            <w:hideMark/>
          </w:tcPr>
          <w:p w14:paraId="5AECA441" w14:textId="77777777" w:rsidR="002F3DCF" w:rsidRPr="005A3C94" w:rsidRDefault="002F3DCF" w:rsidP="002F3DCF">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436631D2" w14:textId="77777777" w:rsidR="002F3DCF" w:rsidRPr="005A3C94" w:rsidRDefault="002F3DCF" w:rsidP="002F3DC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030" w:type="dxa"/>
            <w:tcBorders>
              <w:top w:val="nil"/>
              <w:left w:val="nil"/>
              <w:bottom w:val="single" w:sz="4" w:space="0" w:color="auto"/>
              <w:right w:val="single" w:sz="4" w:space="0" w:color="auto"/>
            </w:tcBorders>
            <w:shd w:val="clear" w:color="000000" w:fill="C5E0B3"/>
            <w:vAlign w:val="center"/>
            <w:hideMark/>
          </w:tcPr>
          <w:p w14:paraId="429227D2"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0,079</w:t>
            </w:r>
          </w:p>
        </w:tc>
        <w:tc>
          <w:tcPr>
            <w:tcW w:w="1035" w:type="dxa"/>
            <w:tcBorders>
              <w:top w:val="nil"/>
              <w:left w:val="nil"/>
              <w:bottom w:val="single" w:sz="4" w:space="0" w:color="auto"/>
              <w:right w:val="single" w:sz="4" w:space="0" w:color="auto"/>
            </w:tcBorders>
            <w:shd w:val="clear" w:color="000000" w:fill="E9ABAB"/>
            <w:vAlign w:val="center"/>
            <w:hideMark/>
          </w:tcPr>
          <w:p w14:paraId="7C0E77A8"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w:t>
            </w:r>
          </w:p>
        </w:tc>
        <w:tc>
          <w:tcPr>
            <w:tcW w:w="941" w:type="dxa"/>
            <w:tcBorders>
              <w:top w:val="nil"/>
              <w:left w:val="nil"/>
              <w:bottom w:val="single" w:sz="4" w:space="0" w:color="auto"/>
              <w:right w:val="single" w:sz="4" w:space="0" w:color="auto"/>
            </w:tcBorders>
            <w:shd w:val="clear" w:color="000000" w:fill="C5E0B3"/>
            <w:vAlign w:val="center"/>
            <w:hideMark/>
          </w:tcPr>
          <w:p w14:paraId="5211561A"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-0,015</w:t>
            </w:r>
          </w:p>
        </w:tc>
        <w:tc>
          <w:tcPr>
            <w:tcW w:w="1101" w:type="dxa"/>
            <w:tcBorders>
              <w:top w:val="nil"/>
              <w:left w:val="nil"/>
              <w:bottom w:val="single" w:sz="4" w:space="0" w:color="auto"/>
              <w:right w:val="single" w:sz="4" w:space="0" w:color="auto"/>
            </w:tcBorders>
            <w:shd w:val="clear" w:color="auto" w:fill="auto"/>
            <w:vAlign w:val="center"/>
            <w:hideMark/>
          </w:tcPr>
          <w:p w14:paraId="7E20F6D6"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-0,27</w:t>
            </w:r>
          </w:p>
        </w:tc>
      </w:tr>
      <w:tr w:rsidR="002F3DCF" w:rsidRPr="005A3C94" w14:paraId="4CAB74B9" w14:textId="77777777" w:rsidTr="002F3DCF">
        <w:trPr>
          <w:trHeight w:val="315"/>
          <w:jc w:val="center"/>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389BD99"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4 tárgy</w:t>
            </w:r>
          </w:p>
        </w:tc>
        <w:tc>
          <w:tcPr>
            <w:tcW w:w="1782" w:type="dxa"/>
            <w:tcBorders>
              <w:top w:val="nil"/>
              <w:left w:val="nil"/>
              <w:bottom w:val="single" w:sz="4" w:space="0" w:color="auto"/>
              <w:right w:val="single" w:sz="4" w:space="0" w:color="auto"/>
            </w:tcBorders>
            <w:shd w:val="clear" w:color="auto" w:fill="auto"/>
            <w:vAlign w:val="center"/>
            <w:hideMark/>
          </w:tcPr>
          <w:p w14:paraId="263B4497" w14:textId="77777777" w:rsidR="002F3DCF" w:rsidRPr="005A3C94" w:rsidRDefault="002F3DCF" w:rsidP="002F3DC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030" w:type="dxa"/>
            <w:tcBorders>
              <w:top w:val="nil"/>
              <w:left w:val="nil"/>
              <w:bottom w:val="single" w:sz="4" w:space="0" w:color="auto"/>
              <w:right w:val="single" w:sz="4" w:space="0" w:color="auto"/>
            </w:tcBorders>
            <w:shd w:val="clear" w:color="000000" w:fill="E9ABAB"/>
            <w:vAlign w:val="center"/>
            <w:hideMark/>
          </w:tcPr>
          <w:p w14:paraId="4AC31C90"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0,257</w:t>
            </w:r>
          </w:p>
        </w:tc>
        <w:tc>
          <w:tcPr>
            <w:tcW w:w="1035" w:type="dxa"/>
            <w:tcBorders>
              <w:top w:val="nil"/>
              <w:left w:val="nil"/>
              <w:bottom w:val="single" w:sz="4" w:space="0" w:color="auto"/>
              <w:right w:val="single" w:sz="4" w:space="0" w:color="auto"/>
            </w:tcBorders>
            <w:shd w:val="clear" w:color="000000" w:fill="E9ABAB"/>
            <w:vAlign w:val="center"/>
            <w:hideMark/>
          </w:tcPr>
          <w:p w14:paraId="3A2B93A2"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0,057</w:t>
            </w:r>
          </w:p>
        </w:tc>
        <w:tc>
          <w:tcPr>
            <w:tcW w:w="941" w:type="dxa"/>
            <w:tcBorders>
              <w:top w:val="nil"/>
              <w:left w:val="nil"/>
              <w:bottom w:val="single" w:sz="4" w:space="0" w:color="auto"/>
              <w:right w:val="single" w:sz="4" w:space="0" w:color="auto"/>
            </w:tcBorders>
            <w:shd w:val="clear" w:color="000000" w:fill="E9ABAB"/>
            <w:vAlign w:val="center"/>
            <w:hideMark/>
          </w:tcPr>
          <w:p w14:paraId="34CB8718"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0,052</w:t>
            </w:r>
          </w:p>
        </w:tc>
        <w:tc>
          <w:tcPr>
            <w:tcW w:w="1101" w:type="dxa"/>
            <w:tcBorders>
              <w:top w:val="nil"/>
              <w:left w:val="nil"/>
              <w:bottom w:val="single" w:sz="4" w:space="0" w:color="auto"/>
              <w:right w:val="single" w:sz="4" w:space="0" w:color="auto"/>
            </w:tcBorders>
            <w:shd w:val="clear" w:color="000000" w:fill="E9ABAB"/>
            <w:vAlign w:val="center"/>
            <w:hideMark/>
          </w:tcPr>
          <w:p w14:paraId="7F0A6401"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-0,137</w:t>
            </w:r>
          </w:p>
        </w:tc>
      </w:tr>
      <w:tr w:rsidR="002F3DCF" w:rsidRPr="005A3C94" w14:paraId="2CA20A74" w14:textId="77777777" w:rsidTr="002F3DCF">
        <w:trPr>
          <w:trHeight w:val="318"/>
          <w:jc w:val="center"/>
        </w:trPr>
        <w:tc>
          <w:tcPr>
            <w:tcW w:w="641" w:type="dxa"/>
            <w:vMerge/>
            <w:tcBorders>
              <w:top w:val="nil"/>
              <w:left w:val="single" w:sz="4" w:space="0" w:color="auto"/>
              <w:bottom w:val="single" w:sz="4" w:space="0" w:color="auto"/>
              <w:right w:val="single" w:sz="4" w:space="0" w:color="auto"/>
            </w:tcBorders>
            <w:vAlign w:val="center"/>
            <w:hideMark/>
          </w:tcPr>
          <w:p w14:paraId="68A9A882" w14:textId="77777777" w:rsidR="002F3DCF" w:rsidRPr="005A3C94" w:rsidRDefault="002F3DCF" w:rsidP="002F3DCF">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4FB2721F" w14:textId="77777777" w:rsidR="002F3DCF" w:rsidRPr="005A3C94" w:rsidRDefault="002F3DCF" w:rsidP="002F3DC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030" w:type="dxa"/>
            <w:tcBorders>
              <w:top w:val="nil"/>
              <w:left w:val="nil"/>
              <w:bottom w:val="single" w:sz="4" w:space="0" w:color="auto"/>
              <w:right w:val="single" w:sz="4" w:space="0" w:color="auto"/>
            </w:tcBorders>
            <w:shd w:val="clear" w:color="000000" w:fill="C5E0B3"/>
            <w:vAlign w:val="center"/>
            <w:hideMark/>
          </w:tcPr>
          <w:p w14:paraId="0BD0E283"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0,203</w:t>
            </w:r>
          </w:p>
        </w:tc>
        <w:tc>
          <w:tcPr>
            <w:tcW w:w="1035" w:type="dxa"/>
            <w:tcBorders>
              <w:top w:val="nil"/>
              <w:left w:val="nil"/>
              <w:bottom w:val="single" w:sz="4" w:space="0" w:color="auto"/>
              <w:right w:val="single" w:sz="4" w:space="0" w:color="auto"/>
            </w:tcBorders>
            <w:shd w:val="clear" w:color="000000" w:fill="FFFFFF"/>
            <w:vAlign w:val="center"/>
            <w:hideMark/>
          </w:tcPr>
          <w:p w14:paraId="678E677F"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-0,091</w:t>
            </w:r>
          </w:p>
        </w:tc>
        <w:tc>
          <w:tcPr>
            <w:tcW w:w="941" w:type="dxa"/>
            <w:tcBorders>
              <w:top w:val="nil"/>
              <w:left w:val="nil"/>
              <w:bottom w:val="single" w:sz="4" w:space="0" w:color="auto"/>
              <w:right w:val="single" w:sz="4" w:space="0" w:color="auto"/>
            </w:tcBorders>
            <w:shd w:val="clear" w:color="000000" w:fill="E9ABAB"/>
            <w:vAlign w:val="center"/>
            <w:hideMark/>
          </w:tcPr>
          <w:p w14:paraId="5D255DE8"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-0,305</w:t>
            </w:r>
          </w:p>
        </w:tc>
        <w:tc>
          <w:tcPr>
            <w:tcW w:w="1101" w:type="dxa"/>
            <w:tcBorders>
              <w:top w:val="nil"/>
              <w:left w:val="nil"/>
              <w:bottom w:val="single" w:sz="4" w:space="0" w:color="auto"/>
              <w:right w:val="single" w:sz="4" w:space="0" w:color="auto"/>
            </w:tcBorders>
            <w:shd w:val="clear" w:color="000000" w:fill="C5E0B3"/>
            <w:vAlign w:val="center"/>
            <w:hideMark/>
          </w:tcPr>
          <w:p w14:paraId="7D908743"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0,23</w:t>
            </w:r>
          </w:p>
        </w:tc>
      </w:tr>
      <w:tr w:rsidR="002F3DCF" w:rsidRPr="005A3C94" w14:paraId="26697E37" w14:textId="77777777" w:rsidTr="002F3DCF">
        <w:trPr>
          <w:trHeight w:val="323"/>
          <w:jc w:val="center"/>
        </w:trPr>
        <w:tc>
          <w:tcPr>
            <w:tcW w:w="641" w:type="dxa"/>
            <w:vMerge w:val="restart"/>
            <w:tcBorders>
              <w:top w:val="nil"/>
              <w:left w:val="single" w:sz="4" w:space="0" w:color="auto"/>
              <w:bottom w:val="single" w:sz="8" w:space="0" w:color="000000"/>
              <w:right w:val="single" w:sz="4" w:space="0" w:color="auto"/>
            </w:tcBorders>
            <w:shd w:val="clear" w:color="auto" w:fill="auto"/>
            <w:vAlign w:val="center"/>
            <w:hideMark/>
          </w:tcPr>
          <w:p w14:paraId="5F77DA62"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5 tárgy</w:t>
            </w:r>
          </w:p>
        </w:tc>
        <w:tc>
          <w:tcPr>
            <w:tcW w:w="1782" w:type="dxa"/>
            <w:tcBorders>
              <w:top w:val="nil"/>
              <w:left w:val="nil"/>
              <w:bottom w:val="single" w:sz="4" w:space="0" w:color="auto"/>
              <w:right w:val="single" w:sz="4" w:space="0" w:color="auto"/>
            </w:tcBorders>
            <w:shd w:val="clear" w:color="auto" w:fill="auto"/>
            <w:vAlign w:val="center"/>
            <w:hideMark/>
          </w:tcPr>
          <w:p w14:paraId="1401BE11" w14:textId="77777777" w:rsidR="002F3DCF" w:rsidRPr="005A3C94" w:rsidRDefault="002F3DCF" w:rsidP="002F3DC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030" w:type="dxa"/>
            <w:tcBorders>
              <w:top w:val="nil"/>
              <w:left w:val="nil"/>
              <w:bottom w:val="single" w:sz="4" w:space="0" w:color="auto"/>
              <w:right w:val="single" w:sz="4" w:space="0" w:color="auto"/>
            </w:tcBorders>
            <w:shd w:val="clear" w:color="000000" w:fill="E9ABAB"/>
            <w:vAlign w:val="center"/>
            <w:hideMark/>
          </w:tcPr>
          <w:p w14:paraId="21E54B33"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-1,149</w:t>
            </w:r>
          </w:p>
        </w:tc>
        <w:tc>
          <w:tcPr>
            <w:tcW w:w="1035" w:type="dxa"/>
            <w:tcBorders>
              <w:top w:val="nil"/>
              <w:left w:val="nil"/>
              <w:bottom w:val="single" w:sz="4" w:space="0" w:color="auto"/>
              <w:right w:val="single" w:sz="4" w:space="0" w:color="auto"/>
            </w:tcBorders>
            <w:shd w:val="clear" w:color="000000" w:fill="C5E0B3"/>
            <w:vAlign w:val="center"/>
            <w:hideMark/>
          </w:tcPr>
          <w:p w14:paraId="74829FC4"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0,127</w:t>
            </w:r>
          </w:p>
        </w:tc>
        <w:tc>
          <w:tcPr>
            <w:tcW w:w="941" w:type="dxa"/>
            <w:tcBorders>
              <w:top w:val="nil"/>
              <w:left w:val="nil"/>
              <w:bottom w:val="single" w:sz="4" w:space="0" w:color="auto"/>
              <w:right w:val="single" w:sz="4" w:space="0" w:color="auto"/>
            </w:tcBorders>
            <w:shd w:val="clear" w:color="000000" w:fill="E9ABAB"/>
            <w:vAlign w:val="center"/>
            <w:hideMark/>
          </w:tcPr>
          <w:p w14:paraId="523823E7"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-0,015</w:t>
            </w:r>
          </w:p>
        </w:tc>
        <w:tc>
          <w:tcPr>
            <w:tcW w:w="1101" w:type="dxa"/>
            <w:tcBorders>
              <w:top w:val="nil"/>
              <w:left w:val="nil"/>
              <w:bottom w:val="single" w:sz="4" w:space="0" w:color="auto"/>
              <w:right w:val="single" w:sz="4" w:space="0" w:color="auto"/>
            </w:tcBorders>
            <w:shd w:val="clear" w:color="000000" w:fill="E9ABAB"/>
            <w:vAlign w:val="center"/>
            <w:hideMark/>
          </w:tcPr>
          <w:p w14:paraId="4EC63EF1"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-0,868</w:t>
            </w:r>
          </w:p>
        </w:tc>
      </w:tr>
      <w:tr w:rsidR="002F3DCF" w:rsidRPr="005A3C94" w14:paraId="7DF8A0A1" w14:textId="77777777" w:rsidTr="002F3DCF">
        <w:trPr>
          <w:trHeight w:val="262"/>
          <w:jc w:val="center"/>
        </w:trPr>
        <w:tc>
          <w:tcPr>
            <w:tcW w:w="641" w:type="dxa"/>
            <w:vMerge/>
            <w:tcBorders>
              <w:top w:val="nil"/>
              <w:left w:val="single" w:sz="4" w:space="0" w:color="auto"/>
              <w:bottom w:val="single" w:sz="8" w:space="0" w:color="000000"/>
              <w:right w:val="single" w:sz="4" w:space="0" w:color="auto"/>
            </w:tcBorders>
            <w:vAlign w:val="center"/>
            <w:hideMark/>
          </w:tcPr>
          <w:p w14:paraId="381BD594" w14:textId="77777777" w:rsidR="002F3DCF" w:rsidRPr="005A3C94" w:rsidRDefault="002F3DCF" w:rsidP="002F3DCF">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8" w:space="0" w:color="auto"/>
              <w:right w:val="single" w:sz="4" w:space="0" w:color="auto"/>
            </w:tcBorders>
            <w:shd w:val="clear" w:color="000000" w:fill="D9D9D9"/>
            <w:vAlign w:val="center"/>
            <w:hideMark/>
          </w:tcPr>
          <w:p w14:paraId="1EDD6130" w14:textId="77777777" w:rsidR="002F3DCF" w:rsidRPr="005A3C94" w:rsidRDefault="002F3DCF" w:rsidP="002F3DC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030" w:type="dxa"/>
            <w:tcBorders>
              <w:top w:val="nil"/>
              <w:left w:val="nil"/>
              <w:bottom w:val="single" w:sz="8" w:space="0" w:color="auto"/>
              <w:right w:val="single" w:sz="4" w:space="0" w:color="auto"/>
            </w:tcBorders>
            <w:shd w:val="clear" w:color="000000" w:fill="C5E0B3"/>
            <w:vAlign w:val="center"/>
            <w:hideMark/>
          </w:tcPr>
          <w:p w14:paraId="2DE640C9"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0,079</w:t>
            </w:r>
          </w:p>
        </w:tc>
        <w:tc>
          <w:tcPr>
            <w:tcW w:w="1035" w:type="dxa"/>
            <w:tcBorders>
              <w:top w:val="nil"/>
              <w:left w:val="nil"/>
              <w:bottom w:val="single" w:sz="8" w:space="0" w:color="auto"/>
              <w:right w:val="single" w:sz="4" w:space="0" w:color="auto"/>
            </w:tcBorders>
            <w:shd w:val="clear" w:color="000000" w:fill="C5E0B3"/>
            <w:vAlign w:val="center"/>
            <w:hideMark/>
          </w:tcPr>
          <w:p w14:paraId="75502A65"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0,19</w:t>
            </w:r>
          </w:p>
        </w:tc>
        <w:tc>
          <w:tcPr>
            <w:tcW w:w="941" w:type="dxa"/>
            <w:tcBorders>
              <w:top w:val="nil"/>
              <w:left w:val="nil"/>
              <w:bottom w:val="single" w:sz="8" w:space="0" w:color="auto"/>
              <w:right w:val="single" w:sz="4" w:space="0" w:color="auto"/>
            </w:tcBorders>
            <w:shd w:val="clear" w:color="000000" w:fill="FFFFFF"/>
            <w:vAlign w:val="center"/>
            <w:hideMark/>
          </w:tcPr>
          <w:p w14:paraId="1F775A8E"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0,287</w:t>
            </w:r>
          </w:p>
        </w:tc>
        <w:tc>
          <w:tcPr>
            <w:tcW w:w="1101" w:type="dxa"/>
            <w:tcBorders>
              <w:top w:val="nil"/>
              <w:left w:val="nil"/>
              <w:bottom w:val="single" w:sz="8" w:space="0" w:color="auto"/>
              <w:right w:val="single" w:sz="4" w:space="0" w:color="auto"/>
            </w:tcBorders>
            <w:shd w:val="clear" w:color="000000" w:fill="C5E0B3"/>
            <w:vAlign w:val="center"/>
            <w:hideMark/>
          </w:tcPr>
          <w:p w14:paraId="40D9C8C9"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-0,037</w:t>
            </w:r>
          </w:p>
        </w:tc>
      </w:tr>
      <w:tr w:rsidR="002F3DCF" w:rsidRPr="005A3C94" w14:paraId="7A307FA9" w14:textId="77777777" w:rsidTr="002F3DCF">
        <w:trPr>
          <w:trHeight w:val="315"/>
          <w:jc w:val="center"/>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463749FB"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Total</w:t>
            </w:r>
          </w:p>
        </w:tc>
        <w:tc>
          <w:tcPr>
            <w:tcW w:w="1782" w:type="dxa"/>
            <w:tcBorders>
              <w:top w:val="nil"/>
              <w:left w:val="nil"/>
              <w:bottom w:val="single" w:sz="4" w:space="0" w:color="auto"/>
              <w:right w:val="single" w:sz="4" w:space="0" w:color="auto"/>
            </w:tcBorders>
            <w:shd w:val="clear" w:color="auto" w:fill="auto"/>
            <w:vAlign w:val="center"/>
            <w:hideMark/>
          </w:tcPr>
          <w:p w14:paraId="521E0803" w14:textId="77777777" w:rsidR="002F3DCF" w:rsidRPr="005A3C94" w:rsidRDefault="002F3DCF" w:rsidP="002F3DC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030" w:type="dxa"/>
            <w:tcBorders>
              <w:top w:val="nil"/>
              <w:left w:val="nil"/>
              <w:bottom w:val="single" w:sz="4" w:space="0" w:color="auto"/>
              <w:right w:val="single" w:sz="4" w:space="0" w:color="auto"/>
            </w:tcBorders>
            <w:shd w:val="clear" w:color="000000" w:fill="E9ABAB"/>
            <w:vAlign w:val="center"/>
            <w:hideMark/>
          </w:tcPr>
          <w:p w14:paraId="65262F28"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-0,068</w:t>
            </w:r>
          </w:p>
        </w:tc>
        <w:tc>
          <w:tcPr>
            <w:tcW w:w="1035" w:type="dxa"/>
            <w:tcBorders>
              <w:top w:val="nil"/>
              <w:left w:val="nil"/>
              <w:bottom w:val="single" w:sz="4" w:space="0" w:color="auto"/>
              <w:right w:val="single" w:sz="4" w:space="0" w:color="auto"/>
            </w:tcBorders>
            <w:shd w:val="clear" w:color="000000" w:fill="E9ABAB"/>
            <w:vAlign w:val="center"/>
            <w:hideMark/>
          </w:tcPr>
          <w:p w14:paraId="04EC0A18"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0,048</w:t>
            </w:r>
          </w:p>
        </w:tc>
        <w:tc>
          <w:tcPr>
            <w:tcW w:w="941" w:type="dxa"/>
            <w:tcBorders>
              <w:top w:val="nil"/>
              <w:left w:val="nil"/>
              <w:bottom w:val="single" w:sz="4" w:space="0" w:color="auto"/>
              <w:right w:val="single" w:sz="4" w:space="0" w:color="auto"/>
            </w:tcBorders>
            <w:shd w:val="clear" w:color="000000" w:fill="C5E0B3"/>
            <w:vAlign w:val="center"/>
            <w:hideMark/>
          </w:tcPr>
          <w:p w14:paraId="6E4BF828"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0,136</w:t>
            </w:r>
          </w:p>
        </w:tc>
        <w:tc>
          <w:tcPr>
            <w:tcW w:w="1101" w:type="dxa"/>
            <w:tcBorders>
              <w:top w:val="nil"/>
              <w:left w:val="nil"/>
              <w:bottom w:val="single" w:sz="4" w:space="0" w:color="auto"/>
              <w:right w:val="single" w:sz="4" w:space="0" w:color="auto"/>
            </w:tcBorders>
            <w:shd w:val="clear" w:color="000000" w:fill="C5E0B3"/>
            <w:vAlign w:val="center"/>
            <w:hideMark/>
          </w:tcPr>
          <w:p w14:paraId="737C14A2"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0,154</w:t>
            </w:r>
          </w:p>
        </w:tc>
      </w:tr>
      <w:tr w:rsidR="002F3DCF" w:rsidRPr="005A3C94" w14:paraId="52013E4D" w14:textId="77777777" w:rsidTr="002F3DCF">
        <w:trPr>
          <w:trHeight w:val="338"/>
          <w:jc w:val="center"/>
        </w:trPr>
        <w:tc>
          <w:tcPr>
            <w:tcW w:w="641" w:type="dxa"/>
            <w:vMerge/>
            <w:tcBorders>
              <w:top w:val="nil"/>
              <w:left w:val="single" w:sz="4" w:space="0" w:color="auto"/>
              <w:bottom w:val="single" w:sz="4" w:space="0" w:color="auto"/>
              <w:right w:val="single" w:sz="4" w:space="0" w:color="auto"/>
            </w:tcBorders>
            <w:vAlign w:val="center"/>
            <w:hideMark/>
          </w:tcPr>
          <w:p w14:paraId="319E7D7E" w14:textId="77777777" w:rsidR="002F3DCF" w:rsidRPr="005A3C94" w:rsidRDefault="002F3DCF" w:rsidP="002F3DCF">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2841116F" w14:textId="77777777" w:rsidR="002F3DCF" w:rsidRPr="005A3C94" w:rsidRDefault="002F3DCF" w:rsidP="002F3DC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030" w:type="dxa"/>
            <w:tcBorders>
              <w:top w:val="nil"/>
              <w:left w:val="nil"/>
              <w:bottom w:val="single" w:sz="4" w:space="0" w:color="auto"/>
              <w:right w:val="single" w:sz="4" w:space="0" w:color="auto"/>
            </w:tcBorders>
            <w:shd w:val="clear" w:color="000000" w:fill="C5E0B3"/>
            <w:vAlign w:val="center"/>
            <w:hideMark/>
          </w:tcPr>
          <w:p w14:paraId="63468DD0"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0,068</w:t>
            </w:r>
          </w:p>
        </w:tc>
        <w:tc>
          <w:tcPr>
            <w:tcW w:w="1035" w:type="dxa"/>
            <w:tcBorders>
              <w:top w:val="nil"/>
              <w:left w:val="nil"/>
              <w:bottom w:val="single" w:sz="4" w:space="0" w:color="auto"/>
              <w:right w:val="single" w:sz="4" w:space="0" w:color="auto"/>
            </w:tcBorders>
            <w:shd w:val="clear" w:color="000000" w:fill="C5E0B3"/>
            <w:vAlign w:val="center"/>
            <w:hideMark/>
          </w:tcPr>
          <w:p w14:paraId="24BB5123"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-0,048</w:t>
            </w:r>
          </w:p>
        </w:tc>
        <w:tc>
          <w:tcPr>
            <w:tcW w:w="941" w:type="dxa"/>
            <w:tcBorders>
              <w:top w:val="nil"/>
              <w:left w:val="nil"/>
              <w:bottom w:val="single" w:sz="4" w:space="0" w:color="auto"/>
              <w:right w:val="single" w:sz="4" w:space="0" w:color="auto"/>
            </w:tcBorders>
            <w:shd w:val="clear" w:color="000000" w:fill="E9ABAB"/>
            <w:vAlign w:val="center"/>
            <w:hideMark/>
          </w:tcPr>
          <w:p w14:paraId="412466C2"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-0,045</w:t>
            </w:r>
          </w:p>
        </w:tc>
        <w:tc>
          <w:tcPr>
            <w:tcW w:w="1101" w:type="dxa"/>
            <w:tcBorders>
              <w:top w:val="nil"/>
              <w:left w:val="nil"/>
              <w:bottom w:val="single" w:sz="4" w:space="0" w:color="auto"/>
              <w:right w:val="single" w:sz="4" w:space="0" w:color="auto"/>
            </w:tcBorders>
            <w:shd w:val="clear" w:color="000000" w:fill="E9ABAB"/>
            <w:vAlign w:val="center"/>
            <w:hideMark/>
          </w:tcPr>
          <w:p w14:paraId="2C86FF6A" w14:textId="77777777" w:rsidR="002F3DCF" w:rsidRPr="005A3C94" w:rsidRDefault="002F3DCF" w:rsidP="002F3DC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-0,02</w:t>
            </w:r>
          </w:p>
        </w:tc>
      </w:tr>
    </w:tbl>
    <w:p w14:paraId="2CCFEF2D" w14:textId="6E70F2CA" w:rsidR="00EC1292" w:rsidRPr="00791FFF" w:rsidRDefault="00094F85" w:rsidP="008C67DC">
      <w:pPr>
        <w:spacing w:line="276" w:lineRule="auto"/>
        <w:jc w:val="both"/>
        <w:rPr>
          <w:rFonts w:ascii="Times New Roman" w:hAnsi="Times New Roman" w:cs="Times New Roman"/>
          <w:sz w:val="20"/>
          <w:szCs w:val="24"/>
        </w:rPr>
      </w:pPr>
      <w:r w:rsidRPr="005A3C94">
        <w:rPr>
          <w:rFonts w:ascii="Times New Roman" w:hAnsi="Times New Roman" w:cs="Times New Roman"/>
          <w:sz w:val="24"/>
          <w:szCs w:val="24"/>
        </w:rPr>
        <w:t>*</w:t>
      </w:r>
      <w:r w:rsidRPr="00791FFF">
        <w:rPr>
          <w:rFonts w:ascii="Times New Roman" w:hAnsi="Times New Roman" w:cs="Times New Roman"/>
          <w:sz w:val="20"/>
          <w:szCs w:val="24"/>
        </w:rPr>
        <w:t>nagyon alacsony esetszám, cellánként 1 eset</w:t>
      </w:r>
    </w:p>
    <w:p w14:paraId="3E189B76" w14:textId="4F13FB3F" w:rsidR="00661F4B" w:rsidRPr="005A3C94" w:rsidRDefault="00661F4B" w:rsidP="008C67D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Érdekes megfigyelni a táblázat utolsó két, összesítő sorát. Úgy tűnik, hogy a kontroll csoportokba járó diákok pozitívabb attitűddel, énképpel kezdték meg a kísérleti időszakot, azonban a kimeneti mérés idejére ez leromlott, míg a kísérleti csoportban ellentétes a trend, énképük és szociális képességeik pozitívan változtak. Ezzel szemben empátia és tanulási motiváció terén a kísérleti csoport kezdetben is pozitív eredményei tovább javultak, a kísérleti csoportnál pedig tovább romlottak a bementi méréskor is alacsony értékek.</w:t>
      </w:r>
    </w:p>
    <w:p w14:paraId="2FEA00BB" w14:textId="056C3BA5" w:rsidR="001311C4" w:rsidRPr="005A3C94" w:rsidRDefault="00661F4B" w:rsidP="00661F4B">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 diákok tárgyi ellátottsága alapján végzett vizsgálat alapján az előbbiekhez hasonló következtetéseket vonhatunk le. Külön érdemes kiemelni, hogy </w:t>
      </w:r>
      <w:r w:rsidRPr="005A3C94">
        <w:rPr>
          <w:rFonts w:ascii="Times New Roman" w:hAnsi="Times New Roman" w:cs="Times New Roman"/>
          <w:b/>
          <w:sz w:val="24"/>
          <w:szCs w:val="24"/>
        </w:rPr>
        <w:t xml:space="preserve">a kontroll csoporttal ellentétben, mind a </w:t>
      </w:r>
      <w:proofErr w:type="spellStart"/>
      <w:r w:rsidRPr="005A3C94">
        <w:rPr>
          <w:rFonts w:ascii="Times New Roman" w:hAnsi="Times New Roman" w:cs="Times New Roman"/>
          <w:b/>
          <w:sz w:val="24"/>
          <w:szCs w:val="24"/>
        </w:rPr>
        <w:t>legjómódúbb</w:t>
      </w:r>
      <w:proofErr w:type="spellEnd"/>
      <w:r w:rsidRPr="005A3C94">
        <w:rPr>
          <w:rFonts w:ascii="Times New Roman" w:hAnsi="Times New Roman" w:cs="Times New Roman"/>
          <w:b/>
          <w:sz w:val="24"/>
          <w:szCs w:val="24"/>
        </w:rPr>
        <w:t>, mind a legszerényebb háttérből jövő diákoknak csökkent az empátia szintje, ami valószínűleg tovább mélyíti a két csoport között lévő különbséget.</w:t>
      </w:r>
      <w:r w:rsidR="00744412" w:rsidRPr="005A3C94">
        <w:rPr>
          <w:rFonts w:ascii="Times New Roman" w:hAnsi="Times New Roman" w:cs="Times New Roman"/>
          <w:sz w:val="24"/>
          <w:szCs w:val="24"/>
        </w:rPr>
        <w:br w:type="page"/>
      </w:r>
    </w:p>
    <w:p w14:paraId="735F3F90" w14:textId="19B2312B" w:rsidR="00F4610D" w:rsidRPr="009E4F2E" w:rsidRDefault="00DF1D13" w:rsidP="00F4610D">
      <w:pPr>
        <w:pStyle w:val="Kpalrs"/>
        <w:keepNext/>
        <w:rPr>
          <w:u w:val="single"/>
        </w:rPr>
      </w:pPr>
      <w:r>
        <w:fldChar w:fldCharType="begin"/>
      </w:r>
      <w:r>
        <w:instrText xml:space="preserve"> SEQ táblázat \* ARABIC </w:instrText>
      </w:r>
      <w:r>
        <w:fldChar w:fldCharType="separate"/>
      </w:r>
      <w:r w:rsidR="00DC5809">
        <w:rPr>
          <w:noProof/>
        </w:rPr>
        <w:t>4</w:t>
      </w:r>
      <w:r>
        <w:rPr>
          <w:noProof/>
        </w:rPr>
        <w:fldChar w:fldCharType="end"/>
      </w:r>
      <w:r w:rsidR="00F4610D" w:rsidRPr="005A3C94">
        <w:t xml:space="preserve">. táblázat: </w:t>
      </w:r>
      <w:r w:rsidR="003B7DE8" w:rsidRPr="005A3C94">
        <w:t>A személyes</w:t>
      </w:r>
      <w:r w:rsidR="00F4610D" w:rsidRPr="005A3C94">
        <w:t xml:space="preserve"> ellátottság szerinti átlagos standardizált pozitív válaszok eloszlása </w:t>
      </w:r>
      <w:r w:rsidR="00F4610D" w:rsidRPr="009E4F2E">
        <w:rPr>
          <w:u w:val="single"/>
        </w:rPr>
        <w:t>bemenetkor</w:t>
      </w:r>
    </w:p>
    <w:tbl>
      <w:tblPr>
        <w:tblW w:w="6338" w:type="dxa"/>
        <w:jc w:val="center"/>
        <w:tblCellMar>
          <w:left w:w="70" w:type="dxa"/>
          <w:right w:w="70" w:type="dxa"/>
        </w:tblCellMar>
        <w:tblLook w:val="04A0" w:firstRow="1" w:lastRow="0" w:firstColumn="1" w:lastColumn="0" w:noHBand="0" w:noVBand="1"/>
      </w:tblPr>
      <w:tblGrid>
        <w:gridCol w:w="641"/>
        <w:gridCol w:w="1782"/>
        <w:gridCol w:w="838"/>
        <w:gridCol w:w="1035"/>
        <w:gridCol w:w="941"/>
        <w:gridCol w:w="1101"/>
      </w:tblGrid>
      <w:tr w:rsidR="004B2665" w:rsidRPr="005A3C94" w14:paraId="0C207C85" w14:textId="77777777" w:rsidTr="004B2665">
        <w:trPr>
          <w:trHeight w:val="630"/>
          <w:jc w:val="center"/>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E2F90"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 </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58B38725"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Kontroll/kísérleti</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7A547C7E"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Énkép</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1638D6C0"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Szociális képesség</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1D9349A9"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Empátia</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367D9DEE"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Tanulási motiváció</w:t>
            </w:r>
          </w:p>
        </w:tc>
      </w:tr>
      <w:tr w:rsidR="004B2665" w:rsidRPr="005A3C94" w14:paraId="31FF38F3" w14:textId="77777777" w:rsidTr="004B2665">
        <w:trPr>
          <w:trHeight w:val="420"/>
          <w:jc w:val="center"/>
        </w:trPr>
        <w:tc>
          <w:tcPr>
            <w:tcW w:w="641" w:type="dxa"/>
            <w:vMerge w:val="restart"/>
            <w:tcBorders>
              <w:top w:val="nil"/>
              <w:left w:val="single" w:sz="4" w:space="0" w:color="auto"/>
              <w:bottom w:val="single" w:sz="4" w:space="0" w:color="000000"/>
              <w:right w:val="single" w:sz="4" w:space="0" w:color="auto"/>
            </w:tcBorders>
            <w:shd w:val="clear" w:color="auto" w:fill="auto"/>
            <w:vAlign w:val="center"/>
            <w:hideMark/>
          </w:tcPr>
          <w:p w14:paraId="5555B19D"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 tárgy</w:t>
            </w:r>
          </w:p>
        </w:tc>
        <w:tc>
          <w:tcPr>
            <w:tcW w:w="1782" w:type="dxa"/>
            <w:tcBorders>
              <w:top w:val="nil"/>
              <w:left w:val="nil"/>
              <w:bottom w:val="single" w:sz="4" w:space="0" w:color="auto"/>
              <w:right w:val="single" w:sz="4" w:space="0" w:color="auto"/>
            </w:tcBorders>
            <w:shd w:val="clear" w:color="auto" w:fill="auto"/>
            <w:vAlign w:val="center"/>
            <w:hideMark/>
          </w:tcPr>
          <w:p w14:paraId="538BAFD2"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838" w:type="dxa"/>
            <w:tcBorders>
              <w:top w:val="nil"/>
              <w:left w:val="nil"/>
              <w:bottom w:val="single" w:sz="4" w:space="0" w:color="auto"/>
              <w:right w:val="single" w:sz="4" w:space="0" w:color="auto"/>
            </w:tcBorders>
            <w:shd w:val="clear" w:color="auto" w:fill="auto"/>
            <w:vAlign w:val="center"/>
            <w:hideMark/>
          </w:tcPr>
          <w:p w14:paraId="30E4F8B0" w14:textId="77777777" w:rsidR="004B2665" w:rsidRPr="005A3C94" w:rsidRDefault="004B2665" w:rsidP="004B2665">
            <w:pPr>
              <w:spacing w:after="0" w:line="240" w:lineRule="auto"/>
              <w:ind w:right="-28"/>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0,301</w:t>
            </w:r>
          </w:p>
        </w:tc>
        <w:tc>
          <w:tcPr>
            <w:tcW w:w="1035" w:type="dxa"/>
            <w:tcBorders>
              <w:top w:val="nil"/>
              <w:left w:val="nil"/>
              <w:bottom w:val="single" w:sz="4" w:space="0" w:color="auto"/>
              <w:right w:val="single" w:sz="4" w:space="0" w:color="auto"/>
            </w:tcBorders>
            <w:shd w:val="clear" w:color="auto" w:fill="auto"/>
            <w:vAlign w:val="center"/>
            <w:hideMark/>
          </w:tcPr>
          <w:p w14:paraId="5B2532E8"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-0,021</w:t>
            </w:r>
          </w:p>
        </w:tc>
        <w:tc>
          <w:tcPr>
            <w:tcW w:w="941" w:type="dxa"/>
            <w:tcBorders>
              <w:top w:val="nil"/>
              <w:left w:val="nil"/>
              <w:bottom w:val="single" w:sz="4" w:space="0" w:color="auto"/>
              <w:right w:val="single" w:sz="4" w:space="0" w:color="auto"/>
            </w:tcBorders>
            <w:shd w:val="clear" w:color="auto" w:fill="auto"/>
            <w:vAlign w:val="center"/>
            <w:hideMark/>
          </w:tcPr>
          <w:p w14:paraId="3D1EC63F"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0,014</w:t>
            </w:r>
          </w:p>
        </w:tc>
        <w:tc>
          <w:tcPr>
            <w:tcW w:w="1101" w:type="dxa"/>
            <w:tcBorders>
              <w:top w:val="nil"/>
              <w:left w:val="nil"/>
              <w:bottom w:val="single" w:sz="4" w:space="0" w:color="auto"/>
              <w:right w:val="single" w:sz="4" w:space="0" w:color="auto"/>
            </w:tcBorders>
            <w:shd w:val="clear" w:color="auto" w:fill="auto"/>
            <w:vAlign w:val="center"/>
            <w:hideMark/>
          </w:tcPr>
          <w:p w14:paraId="60A8422A"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-0,52</w:t>
            </w:r>
          </w:p>
        </w:tc>
      </w:tr>
      <w:tr w:rsidR="004B2665" w:rsidRPr="005A3C94" w14:paraId="64167BED" w14:textId="77777777" w:rsidTr="004B2665">
        <w:trPr>
          <w:trHeight w:val="346"/>
          <w:jc w:val="center"/>
        </w:trPr>
        <w:tc>
          <w:tcPr>
            <w:tcW w:w="641" w:type="dxa"/>
            <w:vMerge/>
            <w:tcBorders>
              <w:top w:val="nil"/>
              <w:left w:val="single" w:sz="4" w:space="0" w:color="auto"/>
              <w:bottom w:val="single" w:sz="4" w:space="0" w:color="000000"/>
              <w:right w:val="single" w:sz="4" w:space="0" w:color="auto"/>
            </w:tcBorders>
            <w:vAlign w:val="center"/>
            <w:hideMark/>
          </w:tcPr>
          <w:p w14:paraId="27388723" w14:textId="77777777" w:rsidR="004B2665" w:rsidRPr="005A3C94" w:rsidRDefault="004B2665" w:rsidP="004B266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3EA520C8"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838" w:type="dxa"/>
            <w:tcBorders>
              <w:top w:val="nil"/>
              <w:left w:val="nil"/>
              <w:bottom w:val="single" w:sz="4" w:space="0" w:color="auto"/>
              <w:right w:val="single" w:sz="4" w:space="0" w:color="auto"/>
            </w:tcBorders>
            <w:shd w:val="clear" w:color="auto" w:fill="auto"/>
            <w:vAlign w:val="center"/>
            <w:hideMark/>
          </w:tcPr>
          <w:p w14:paraId="5FE7750B"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-0,437</w:t>
            </w:r>
          </w:p>
        </w:tc>
        <w:tc>
          <w:tcPr>
            <w:tcW w:w="1035" w:type="dxa"/>
            <w:tcBorders>
              <w:top w:val="nil"/>
              <w:left w:val="nil"/>
              <w:bottom w:val="single" w:sz="4" w:space="0" w:color="auto"/>
              <w:right w:val="single" w:sz="4" w:space="0" w:color="auto"/>
            </w:tcBorders>
            <w:shd w:val="clear" w:color="auto" w:fill="auto"/>
            <w:vAlign w:val="center"/>
            <w:hideMark/>
          </w:tcPr>
          <w:p w14:paraId="4D81FF69"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-1,14</w:t>
            </w:r>
          </w:p>
        </w:tc>
        <w:tc>
          <w:tcPr>
            <w:tcW w:w="941" w:type="dxa"/>
            <w:tcBorders>
              <w:top w:val="nil"/>
              <w:left w:val="nil"/>
              <w:bottom w:val="single" w:sz="4" w:space="0" w:color="auto"/>
              <w:right w:val="single" w:sz="4" w:space="0" w:color="auto"/>
            </w:tcBorders>
            <w:shd w:val="clear" w:color="auto" w:fill="auto"/>
            <w:vAlign w:val="center"/>
            <w:hideMark/>
          </w:tcPr>
          <w:p w14:paraId="0F3045E0"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-0,197</w:t>
            </w:r>
          </w:p>
        </w:tc>
        <w:tc>
          <w:tcPr>
            <w:tcW w:w="1101" w:type="dxa"/>
            <w:tcBorders>
              <w:top w:val="nil"/>
              <w:left w:val="nil"/>
              <w:bottom w:val="single" w:sz="4" w:space="0" w:color="auto"/>
              <w:right w:val="single" w:sz="4" w:space="0" w:color="auto"/>
            </w:tcBorders>
            <w:shd w:val="clear" w:color="auto" w:fill="auto"/>
            <w:vAlign w:val="center"/>
            <w:hideMark/>
          </w:tcPr>
          <w:p w14:paraId="49F556F9"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0,028</w:t>
            </w:r>
          </w:p>
        </w:tc>
      </w:tr>
      <w:tr w:rsidR="004B2665" w:rsidRPr="005A3C94" w14:paraId="1E01297F" w14:textId="77777777" w:rsidTr="004B2665">
        <w:trPr>
          <w:trHeight w:val="315"/>
          <w:jc w:val="center"/>
        </w:trPr>
        <w:tc>
          <w:tcPr>
            <w:tcW w:w="641" w:type="dxa"/>
            <w:vMerge w:val="restart"/>
            <w:tcBorders>
              <w:top w:val="nil"/>
              <w:left w:val="single" w:sz="4" w:space="0" w:color="auto"/>
              <w:bottom w:val="single" w:sz="4" w:space="0" w:color="000000"/>
              <w:right w:val="single" w:sz="4" w:space="0" w:color="auto"/>
            </w:tcBorders>
            <w:shd w:val="clear" w:color="auto" w:fill="auto"/>
            <w:vAlign w:val="center"/>
            <w:hideMark/>
          </w:tcPr>
          <w:p w14:paraId="4D9D1B66"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3 tárgy</w:t>
            </w:r>
          </w:p>
        </w:tc>
        <w:tc>
          <w:tcPr>
            <w:tcW w:w="1782" w:type="dxa"/>
            <w:tcBorders>
              <w:top w:val="nil"/>
              <w:left w:val="nil"/>
              <w:bottom w:val="single" w:sz="4" w:space="0" w:color="auto"/>
              <w:right w:val="single" w:sz="4" w:space="0" w:color="auto"/>
            </w:tcBorders>
            <w:shd w:val="clear" w:color="auto" w:fill="auto"/>
            <w:vAlign w:val="center"/>
            <w:hideMark/>
          </w:tcPr>
          <w:p w14:paraId="1F30EBE7"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838" w:type="dxa"/>
            <w:tcBorders>
              <w:top w:val="nil"/>
              <w:left w:val="nil"/>
              <w:bottom w:val="single" w:sz="4" w:space="0" w:color="auto"/>
              <w:right w:val="single" w:sz="4" w:space="0" w:color="auto"/>
            </w:tcBorders>
            <w:shd w:val="clear" w:color="auto" w:fill="auto"/>
            <w:vAlign w:val="center"/>
            <w:hideMark/>
          </w:tcPr>
          <w:p w14:paraId="32D6BA36"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-0,322</w:t>
            </w:r>
          </w:p>
        </w:tc>
        <w:tc>
          <w:tcPr>
            <w:tcW w:w="1035" w:type="dxa"/>
            <w:tcBorders>
              <w:top w:val="nil"/>
              <w:left w:val="nil"/>
              <w:bottom w:val="single" w:sz="4" w:space="0" w:color="auto"/>
              <w:right w:val="single" w:sz="4" w:space="0" w:color="auto"/>
            </w:tcBorders>
            <w:shd w:val="clear" w:color="auto" w:fill="auto"/>
            <w:vAlign w:val="center"/>
            <w:hideMark/>
          </w:tcPr>
          <w:p w14:paraId="72B2736B"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0,175</w:t>
            </w:r>
          </w:p>
        </w:tc>
        <w:tc>
          <w:tcPr>
            <w:tcW w:w="941" w:type="dxa"/>
            <w:tcBorders>
              <w:top w:val="nil"/>
              <w:left w:val="nil"/>
              <w:bottom w:val="single" w:sz="4" w:space="0" w:color="auto"/>
              <w:right w:val="single" w:sz="4" w:space="0" w:color="auto"/>
            </w:tcBorders>
            <w:shd w:val="clear" w:color="auto" w:fill="auto"/>
            <w:vAlign w:val="center"/>
            <w:hideMark/>
          </w:tcPr>
          <w:p w14:paraId="4302CCDA"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0,356</w:t>
            </w:r>
          </w:p>
        </w:tc>
        <w:tc>
          <w:tcPr>
            <w:tcW w:w="1101" w:type="dxa"/>
            <w:tcBorders>
              <w:top w:val="nil"/>
              <w:left w:val="nil"/>
              <w:bottom w:val="single" w:sz="4" w:space="0" w:color="auto"/>
              <w:right w:val="single" w:sz="4" w:space="0" w:color="auto"/>
            </w:tcBorders>
            <w:shd w:val="clear" w:color="auto" w:fill="auto"/>
            <w:vAlign w:val="center"/>
            <w:hideMark/>
          </w:tcPr>
          <w:p w14:paraId="5D79A022"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0,205</w:t>
            </w:r>
          </w:p>
        </w:tc>
      </w:tr>
      <w:tr w:rsidR="004B2665" w:rsidRPr="005A3C94" w14:paraId="462EDD83" w14:textId="77777777" w:rsidTr="004B2665">
        <w:trPr>
          <w:trHeight w:val="315"/>
          <w:jc w:val="center"/>
        </w:trPr>
        <w:tc>
          <w:tcPr>
            <w:tcW w:w="641" w:type="dxa"/>
            <w:vMerge/>
            <w:tcBorders>
              <w:top w:val="nil"/>
              <w:left w:val="single" w:sz="4" w:space="0" w:color="auto"/>
              <w:bottom w:val="single" w:sz="4" w:space="0" w:color="000000"/>
              <w:right w:val="single" w:sz="4" w:space="0" w:color="auto"/>
            </w:tcBorders>
            <w:vAlign w:val="center"/>
            <w:hideMark/>
          </w:tcPr>
          <w:p w14:paraId="2DA1AB41" w14:textId="77777777" w:rsidR="004B2665" w:rsidRPr="005A3C94" w:rsidRDefault="004B2665" w:rsidP="004B266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2E33A658"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838" w:type="dxa"/>
            <w:tcBorders>
              <w:top w:val="nil"/>
              <w:left w:val="nil"/>
              <w:bottom w:val="single" w:sz="4" w:space="0" w:color="auto"/>
              <w:right w:val="single" w:sz="4" w:space="0" w:color="auto"/>
            </w:tcBorders>
            <w:shd w:val="clear" w:color="auto" w:fill="auto"/>
            <w:vAlign w:val="center"/>
            <w:hideMark/>
          </w:tcPr>
          <w:p w14:paraId="0E814D9F"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-0,437</w:t>
            </w:r>
          </w:p>
        </w:tc>
        <w:tc>
          <w:tcPr>
            <w:tcW w:w="1035" w:type="dxa"/>
            <w:tcBorders>
              <w:top w:val="nil"/>
              <w:left w:val="nil"/>
              <w:bottom w:val="single" w:sz="4" w:space="0" w:color="auto"/>
              <w:right w:val="single" w:sz="4" w:space="0" w:color="auto"/>
            </w:tcBorders>
            <w:shd w:val="clear" w:color="auto" w:fill="auto"/>
            <w:vAlign w:val="center"/>
            <w:hideMark/>
          </w:tcPr>
          <w:p w14:paraId="118B8376"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0,283</w:t>
            </w:r>
          </w:p>
        </w:tc>
        <w:tc>
          <w:tcPr>
            <w:tcW w:w="941" w:type="dxa"/>
            <w:tcBorders>
              <w:top w:val="nil"/>
              <w:left w:val="nil"/>
              <w:bottom w:val="single" w:sz="4" w:space="0" w:color="auto"/>
              <w:right w:val="single" w:sz="4" w:space="0" w:color="auto"/>
            </w:tcBorders>
            <w:shd w:val="clear" w:color="auto" w:fill="auto"/>
            <w:vAlign w:val="center"/>
            <w:hideMark/>
          </w:tcPr>
          <w:p w14:paraId="303F1046"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-0,079</w:t>
            </w:r>
          </w:p>
        </w:tc>
        <w:tc>
          <w:tcPr>
            <w:tcW w:w="1101" w:type="dxa"/>
            <w:tcBorders>
              <w:top w:val="nil"/>
              <w:left w:val="nil"/>
              <w:bottom w:val="single" w:sz="4" w:space="0" w:color="auto"/>
              <w:right w:val="single" w:sz="4" w:space="0" w:color="auto"/>
            </w:tcBorders>
            <w:shd w:val="clear" w:color="auto" w:fill="auto"/>
            <w:vAlign w:val="center"/>
            <w:hideMark/>
          </w:tcPr>
          <w:p w14:paraId="7E600F10"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-0,407</w:t>
            </w:r>
          </w:p>
        </w:tc>
      </w:tr>
      <w:tr w:rsidR="004B2665" w:rsidRPr="005A3C94" w14:paraId="49817E46" w14:textId="77777777" w:rsidTr="004B2665">
        <w:trPr>
          <w:trHeight w:val="315"/>
          <w:jc w:val="center"/>
        </w:trPr>
        <w:tc>
          <w:tcPr>
            <w:tcW w:w="641" w:type="dxa"/>
            <w:vMerge w:val="restart"/>
            <w:tcBorders>
              <w:top w:val="nil"/>
              <w:left w:val="single" w:sz="4" w:space="0" w:color="auto"/>
              <w:bottom w:val="single" w:sz="8" w:space="0" w:color="000000"/>
              <w:right w:val="single" w:sz="4" w:space="0" w:color="auto"/>
            </w:tcBorders>
            <w:shd w:val="clear" w:color="auto" w:fill="auto"/>
            <w:vAlign w:val="center"/>
            <w:hideMark/>
          </w:tcPr>
          <w:p w14:paraId="0EF4B872"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4 tárgy</w:t>
            </w:r>
          </w:p>
        </w:tc>
        <w:tc>
          <w:tcPr>
            <w:tcW w:w="1782" w:type="dxa"/>
            <w:tcBorders>
              <w:top w:val="nil"/>
              <w:left w:val="nil"/>
              <w:bottom w:val="single" w:sz="4" w:space="0" w:color="auto"/>
              <w:right w:val="single" w:sz="4" w:space="0" w:color="auto"/>
            </w:tcBorders>
            <w:shd w:val="clear" w:color="auto" w:fill="auto"/>
            <w:vAlign w:val="center"/>
            <w:hideMark/>
          </w:tcPr>
          <w:p w14:paraId="5D549653"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838" w:type="dxa"/>
            <w:tcBorders>
              <w:top w:val="nil"/>
              <w:left w:val="nil"/>
              <w:bottom w:val="single" w:sz="4" w:space="0" w:color="auto"/>
              <w:right w:val="single" w:sz="4" w:space="0" w:color="auto"/>
            </w:tcBorders>
            <w:shd w:val="clear" w:color="auto" w:fill="auto"/>
            <w:vAlign w:val="center"/>
            <w:hideMark/>
          </w:tcPr>
          <w:p w14:paraId="1117CEBD"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0,294</w:t>
            </w:r>
          </w:p>
        </w:tc>
        <w:tc>
          <w:tcPr>
            <w:tcW w:w="1035" w:type="dxa"/>
            <w:tcBorders>
              <w:top w:val="nil"/>
              <w:left w:val="nil"/>
              <w:bottom w:val="single" w:sz="4" w:space="0" w:color="auto"/>
              <w:right w:val="single" w:sz="4" w:space="0" w:color="auto"/>
            </w:tcBorders>
            <w:shd w:val="clear" w:color="auto" w:fill="auto"/>
            <w:vAlign w:val="center"/>
            <w:hideMark/>
          </w:tcPr>
          <w:p w14:paraId="5962E14E"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0,371</w:t>
            </w:r>
          </w:p>
        </w:tc>
        <w:tc>
          <w:tcPr>
            <w:tcW w:w="941" w:type="dxa"/>
            <w:tcBorders>
              <w:top w:val="nil"/>
              <w:left w:val="nil"/>
              <w:bottom w:val="single" w:sz="4" w:space="0" w:color="auto"/>
              <w:right w:val="single" w:sz="4" w:space="0" w:color="auto"/>
            </w:tcBorders>
            <w:shd w:val="clear" w:color="auto" w:fill="auto"/>
            <w:vAlign w:val="center"/>
            <w:hideMark/>
          </w:tcPr>
          <w:p w14:paraId="416A5377"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-0,168</w:t>
            </w:r>
          </w:p>
        </w:tc>
        <w:tc>
          <w:tcPr>
            <w:tcW w:w="1101" w:type="dxa"/>
            <w:tcBorders>
              <w:top w:val="nil"/>
              <w:left w:val="nil"/>
              <w:bottom w:val="single" w:sz="4" w:space="0" w:color="auto"/>
              <w:right w:val="single" w:sz="4" w:space="0" w:color="auto"/>
            </w:tcBorders>
            <w:shd w:val="clear" w:color="auto" w:fill="auto"/>
            <w:vAlign w:val="center"/>
            <w:hideMark/>
          </w:tcPr>
          <w:p w14:paraId="2710C5D0"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0,171</w:t>
            </w:r>
          </w:p>
        </w:tc>
      </w:tr>
      <w:tr w:rsidR="004B2665" w:rsidRPr="005A3C94" w14:paraId="27C3CB9E" w14:textId="77777777" w:rsidTr="004B2665">
        <w:trPr>
          <w:trHeight w:val="330"/>
          <w:jc w:val="center"/>
        </w:trPr>
        <w:tc>
          <w:tcPr>
            <w:tcW w:w="641" w:type="dxa"/>
            <w:vMerge/>
            <w:tcBorders>
              <w:top w:val="nil"/>
              <w:left w:val="single" w:sz="4" w:space="0" w:color="auto"/>
              <w:bottom w:val="single" w:sz="8" w:space="0" w:color="000000"/>
              <w:right w:val="single" w:sz="4" w:space="0" w:color="auto"/>
            </w:tcBorders>
            <w:vAlign w:val="center"/>
            <w:hideMark/>
          </w:tcPr>
          <w:p w14:paraId="07D628BD" w14:textId="77777777" w:rsidR="004B2665" w:rsidRPr="005A3C94" w:rsidRDefault="004B2665" w:rsidP="004B266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8" w:space="0" w:color="auto"/>
              <w:right w:val="single" w:sz="4" w:space="0" w:color="auto"/>
            </w:tcBorders>
            <w:shd w:val="clear" w:color="000000" w:fill="D9D9D9"/>
            <w:vAlign w:val="center"/>
            <w:hideMark/>
          </w:tcPr>
          <w:p w14:paraId="3DE57DF4"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838" w:type="dxa"/>
            <w:tcBorders>
              <w:top w:val="nil"/>
              <w:left w:val="nil"/>
              <w:bottom w:val="single" w:sz="8" w:space="0" w:color="auto"/>
              <w:right w:val="single" w:sz="4" w:space="0" w:color="auto"/>
            </w:tcBorders>
            <w:shd w:val="clear" w:color="auto" w:fill="auto"/>
            <w:vAlign w:val="center"/>
            <w:hideMark/>
          </w:tcPr>
          <w:p w14:paraId="281DC253"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0,159</w:t>
            </w:r>
          </w:p>
        </w:tc>
        <w:tc>
          <w:tcPr>
            <w:tcW w:w="1035" w:type="dxa"/>
            <w:tcBorders>
              <w:top w:val="nil"/>
              <w:left w:val="nil"/>
              <w:bottom w:val="single" w:sz="8" w:space="0" w:color="auto"/>
              <w:right w:val="single" w:sz="4" w:space="0" w:color="auto"/>
            </w:tcBorders>
            <w:shd w:val="clear" w:color="auto" w:fill="auto"/>
            <w:vAlign w:val="center"/>
            <w:hideMark/>
          </w:tcPr>
          <w:p w14:paraId="18B4A4F9"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-0,001</w:t>
            </w:r>
          </w:p>
        </w:tc>
        <w:tc>
          <w:tcPr>
            <w:tcW w:w="941" w:type="dxa"/>
            <w:tcBorders>
              <w:top w:val="nil"/>
              <w:left w:val="nil"/>
              <w:bottom w:val="single" w:sz="8" w:space="0" w:color="auto"/>
              <w:right w:val="single" w:sz="4" w:space="0" w:color="auto"/>
            </w:tcBorders>
            <w:shd w:val="clear" w:color="auto" w:fill="auto"/>
            <w:vAlign w:val="center"/>
            <w:hideMark/>
          </w:tcPr>
          <w:p w14:paraId="6529AE7C"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0,072</w:t>
            </w:r>
          </w:p>
        </w:tc>
        <w:tc>
          <w:tcPr>
            <w:tcW w:w="1101" w:type="dxa"/>
            <w:tcBorders>
              <w:top w:val="nil"/>
              <w:left w:val="nil"/>
              <w:bottom w:val="single" w:sz="8" w:space="0" w:color="auto"/>
              <w:right w:val="single" w:sz="4" w:space="0" w:color="auto"/>
            </w:tcBorders>
            <w:shd w:val="clear" w:color="auto" w:fill="auto"/>
            <w:vAlign w:val="center"/>
            <w:hideMark/>
          </w:tcPr>
          <w:p w14:paraId="0B17B693"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-0,006</w:t>
            </w:r>
          </w:p>
        </w:tc>
      </w:tr>
      <w:tr w:rsidR="004B2665" w:rsidRPr="005A3C94" w14:paraId="209AB76C" w14:textId="77777777" w:rsidTr="004B2665">
        <w:trPr>
          <w:trHeight w:val="390"/>
          <w:jc w:val="center"/>
        </w:trPr>
        <w:tc>
          <w:tcPr>
            <w:tcW w:w="641" w:type="dxa"/>
            <w:vMerge w:val="restart"/>
            <w:tcBorders>
              <w:top w:val="nil"/>
              <w:left w:val="single" w:sz="4" w:space="0" w:color="auto"/>
              <w:bottom w:val="single" w:sz="4" w:space="0" w:color="000000"/>
              <w:right w:val="single" w:sz="4" w:space="0" w:color="auto"/>
            </w:tcBorders>
            <w:shd w:val="clear" w:color="auto" w:fill="auto"/>
            <w:vAlign w:val="center"/>
            <w:hideMark/>
          </w:tcPr>
          <w:p w14:paraId="1D67384E"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Total</w:t>
            </w:r>
          </w:p>
        </w:tc>
        <w:tc>
          <w:tcPr>
            <w:tcW w:w="1782" w:type="dxa"/>
            <w:tcBorders>
              <w:top w:val="nil"/>
              <w:left w:val="nil"/>
              <w:bottom w:val="single" w:sz="4" w:space="0" w:color="auto"/>
              <w:right w:val="single" w:sz="4" w:space="0" w:color="auto"/>
            </w:tcBorders>
            <w:shd w:val="clear" w:color="auto" w:fill="auto"/>
            <w:vAlign w:val="center"/>
            <w:hideMark/>
          </w:tcPr>
          <w:p w14:paraId="1BE7BBE4"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838" w:type="dxa"/>
            <w:tcBorders>
              <w:top w:val="nil"/>
              <w:left w:val="nil"/>
              <w:bottom w:val="single" w:sz="4" w:space="0" w:color="auto"/>
              <w:right w:val="single" w:sz="4" w:space="0" w:color="auto"/>
            </w:tcBorders>
            <w:shd w:val="clear" w:color="auto" w:fill="auto"/>
            <w:vAlign w:val="center"/>
            <w:hideMark/>
          </w:tcPr>
          <w:p w14:paraId="241FCC1B"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0,085</w:t>
            </w:r>
          </w:p>
        </w:tc>
        <w:tc>
          <w:tcPr>
            <w:tcW w:w="1035" w:type="dxa"/>
            <w:tcBorders>
              <w:top w:val="nil"/>
              <w:left w:val="nil"/>
              <w:bottom w:val="single" w:sz="4" w:space="0" w:color="auto"/>
              <w:right w:val="single" w:sz="4" w:space="0" w:color="auto"/>
            </w:tcBorders>
            <w:shd w:val="clear" w:color="auto" w:fill="auto"/>
            <w:vAlign w:val="center"/>
            <w:hideMark/>
          </w:tcPr>
          <w:p w14:paraId="72E5FD13"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0,241</w:t>
            </w:r>
          </w:p>
        </w:tc>
        <w:tc>
          <w:tcPr>
            <w:tcW w:w="941" w:type="dxa"/>
            <w:tcBorders>
              <w:top w:val="nil"/>
              <w:left w:val="nil"/>
              <w:bottom w:val="single" w:sz="4" w:space="0" w:color="auto"/>
              <w:right w:val="single" w:sz="4" w:space="0" w:color="auto"/>
            </w:tcBorders>
            <w:shd w:val="clear" w:color="auto" w:fill="auto"/>
            <w:vAlign w:val="center"/>
            <w:hideMark/>
          </w:tcPr>
          <w:p w14:paraId="7C2AB6DD"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0,04</w:t>
            </w:r>
          </w:p>
        </w:tc>
        <w:tc>
          <w:tcPr>
            <w:tcW w:w="1101" w:type="dxa"/>
            <w:tcBorders>
              <w:top w:val="nil"/>
              <w:left w:val="nil"/>
              <w:bottom w:val="single" w:sz="4" w:space="0" w:color="auto"/>
              <w:right w:val="single" w:sz="4" w:space="0" w:color="auto"/>
            </w:tcBorders>
            <w:shd w:val="clear" w:color="auto" w:fill="auto"/>
            <w:vAlign w:val="center"/>
            <w:hideMark/>
          </w:tcPr>
          <w:p w14:paraId="0DB62AF5"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0,073</w:t>
            </w:r>
          </w:p>
        </w:tc>
      </w:tr>
      <w:tr w:rsidR="004B2665" w:rsidRPr="005A3C94" w14:paraId="014AE746" w14:textId="77777777" w:rsidTr="004B2665">
        <w:trPr>
          <w:trHeight w:val="315"/>
          <w:jc w:val="center"/>
        </w:trPr>
        <w:tc>
          <w:tcPr>
            <w:tcW w:w="641" w:type="dxa"/>
            <w:vMerge/>
            <w:tcBorders>
              <w:top w:val="nil"/>
              <w:left w:val="single" w:sz="4" w:space="0" w:color="auto"/>
              <w:bottom w:val="single" w:sz="4" w:space="0" w:color="000000"/>
              <w:right w:val="single" w:sz="4" w:space="0" w:color="auto"/>
            </w:tcBorders>
            <w:vAlign w:val="center"/>
            <w:hideMark/>
          </w:tcPr>
          <w:p w14:paraId="6A7B6979" w14:textId="77777777" w:rsidR="004B2665" w:rsidRPr="005A3C94" w:rsidRDefault="004B2665" w:rsidP="004B266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1B8A2C7D"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838" w:type="dxa"/>
            <w:tcBorders>
              <w:top w:val="nil"/>
              <w:left w:val="nil"/>
              <w:bottom w:val="single" w:sz="4" w:space="0" w:color="auto"/>
              <w:right w:val="single" w:sz="4" w:space="0" w:color="auto"/>
            </w:tcBorders>
            <w:shd w:val="clear" w:color="auto" w:fill="auto"/>
            <w:vAlign w:val="center"/>
            <w:hideMark/>
          </w:tcPr>
          <w:p w14:paraId="1ED96F9C"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-0,085</w:t>
            </w:r>
          </w:p>
        </w:tc>
        <w:tc>
          <w:tcPr>
            <w:tcW w:w="1035" w:type="dxa"/>
            <w:tcBorders>
              <w:top w:val="nil"/>
              <w:left w:val="nil"/>
              <w:bottom w:val="single" w:sz="4" w:space="0" w:color="auto"/>
              <w:right w:val="single" w:sz="4" w:space="0" w:color="auto"/>
            </w:tcBorders>
            <w:shd w:val="clear" w:color="auto" w:fill="auto"/>
            <w:vAlign w:val="center"/>
            <w:hideMark/>
          </w:tcPr>
          <w:p w14:paraId="169B6FFE"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-0,242</w:t>
            </w:r>
          </w:p>
        </w:tc>
        <w:tc>
          <w:tcPr>
            <w:tcW w:w="941" w:type="dxa"/>
            <w:tcBorders>
              <w:top w:val="nil"/>
              <w:left w:val="nil"/>
              <w:bottom w:val="single" w:sz="4" w:space="0" w:color="auto"/>
              <w:right w:val="single" w:sz="4" w:space="0" w:color="auto"/>
            </w:tcBorders>
            <w:shd w:val="clear" w:color="auto" w:fill="auto"/>
            <w:vAlign w:val="center"/>
            <w:hideMark/>
          </w:tcPr>
          <w:p w14:paraId="64241F37"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-0,02</w:t>
            </w:r>
          </w:p>
        </w:tc>
        <w:tc>
          <w:tcPr>
            <w:tcW w:w="1101" w:type="dxa"/>
            <w:tcBorders>
              <w:top w:val="nil"/>
              <w:left w:val="nil"/>
              <w:bottom w:val="single" w:sz="4" w:space="0" w:color="auto"/>
              <w:right w:val="single" w:sz="4" w:space="0" w:color="auto"/>
            </w:tcBorders>
            <w:shd w:val="clear" w:color="auto" w:fill="auto"/>
            <w:vAlign w:val="center"/>
            <w:hideMark/>
          </w:tcPr>
          <w:p w14:paraId="58CE66CF"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-0,062</w:t>
            </w:r>
          </w:p>
        </w:tc>
      </w:tr>
    </w:tbl>
    <w:p w14:paraId="3F2AD38F" w14:textId="433E892F" w:rsidR="00A20B61" w:rsidRPr="005A3C94" w:rsidRDefault="00A20B61" w:rsidP="008C67DC">
      <w:pPr>
        <w:spacing w:line="276" w:lineRule="auto"/>
        <w:jc w:val="both"/>
        <w:rPr>
          <w:rFonts w:ascii="Times New Roman" w:hAnsi="Times New Roman" w:cs="Times New Roman"/>
          <w:sz w:val="24"/>
          <w:szCs w:val="24"/>
        </w:rPr>
      </w:pPr>
    </w:p>
    <w:p w14:paraId="5E2EBD8D" w14:textId="6E043B20" w:rsidR="00F4610D" w:rsidRPr="005A3C94" w:rsidRDefault="00DF1D13" w:rsidP="00F4610D">
      <w:pPr>
        <w:pStyle w:val="Kpalrs"/>
        <w:keepNext/>
      </w:pPr>
      <w:r>
        <w:fldChar w:fldCharType="begin"/>
      </w:r>
      <w:r>
        <w:instrText xml:space="preserve"> SEQ táblázat \* ARABIC </w:instrText>
      </w:r>
      <w:r>
        <w:fldChar w:fldCharType="separate"/>
      </w:r>
      <w:r w:rsidR="00DC5809">
        <w:rPr>
          <w:noProof/>
        </w:rPr>
        <w:t>5</w:t>
      </w:r>
      <w:r>
        <w:rPr>
          <w:noProof/>
        </w:rPr>
        <w:fldChar w:fldCharType="end"/>
      </w:r>
      <w:r w:rsidR="00F4610D" w:rsidRPr="005A3C94">
        <w:t xml:space="preserve">. táblázat: A személyes ellátottság szerinti átlagos standardizált pozitív válaszok eloszlása </w:t>
      </w:r>
      <w:r w:rsidR="00F4610D" w:rsidRPr="009E4F2E">
        <w:rPr>
          <w:u w:val="single"/>
        </w:rPr>
        <w:t>kimenetkor</w:t>
      </w:r>
    </w:p>
    <w:tbl>
      <w:tblPr>
        <w:tblW w:w="6521" w:type="dxa"/>
        <w:jc w:val="center"/>
        <w:tblLayout w:type="fixed"/>
        <w:tblCellMar>
          <w:left w:w="70" w:type="dxa"/>
          <w:right w:w="70" w:type="dxa"/>
        </w:tblCellMar>
        <w:tblLook w:val="04A0" w:firstRow="1" w:lastRow="0" w:firstColumn="1" w:lastColumn="0" w:noHBand="0" w:noVBand="1"/>
      </w:tblPr>
      <w:tblGrid>
        <w:gridCol w:w="641"/>
        <w:gridCol w:w="1782"/>
        <w:gridCol w:w="838"/>
        <w:gridCol w:w="1134"/>
        <w:gridCol w:w="992"/>
        <w:gridCol w:w="1134"/>
      </w:tblGrid>
      <w:tr w:rsidR="004B2665" w:rsidRPr="005A3C94" w14:paraId="01501190" w14:textId="77777777" w:rsidTr="004B2665">
        <w:trPr>
          <w:trHeight w:val="945"/>
          <w:jc w:val="center"/>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E4510"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 </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10BC6183"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Kontroll/kísérleti</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25F5AB3E"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Énkép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B73C65"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Szociális képesség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94C47B"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Empátia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42A20F"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Tanulási motiváció</w:t>
            </w:r>
          </w:p>
        </w:tc>
      </w:tr>
      <w:tr w:rsidR="004B2665" w:rsidRPr="005A3C94" w14:paraId="69B3002B" w14:textId="77777777" w:rsidTr="004B2665">
        <w:trPr>
          <w:trHeight w:val="315"/>
          <w:jc w:val="center"/>
        </w:trPr>
        <w:tc>
          <w:tcPr>
            <w:tcW w:w="641" w:type="dxa"/>
            <w:vMerge w:val="restart"/>
            <w:tcBorders>
              <w:top w:val="nil"/>
              <w:left w:val="single" w:sz="4" w:space="0" w:color="auto"/>
              <w:bottom w:val="single" w:sz="4" w:space="0" w:color="000000"/>
              <w:right w:val="single" w:sz="4" w:space="0" w:color="auto"/>
            </w:tcBorders>
            <w:shd w:val="clear" w:color="auto" w:fill="auto"/>
            <w:vAlign w:val="center"/>
            <w:hideMark/>
          </w:tcPr>
          <w:p w14:paraId="77BE7B61"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 tárgy</w:t>
            </w:r>
          </w:p>
        </w:tc>
        <w:tc>
          <w:tcPr>
            <w:tcW w:w="1782" w:type="dxa"/>
            <w:tcBorders>
              <w:top w:val="nil"/>
              <w:left w:val="nil"/>
              <w:bottom w:val="single" w:sz="4" w:space="0" w:color="auto"/>
              <w:right w:val="single" w:sz="4" w:space="0" w:color="auto"/>
            </w:tcBorders>
            <w:shd w:val="clear" w:color="auto" w:fill="auto"/>
            <w:vAlign w:val="center"/>
            <w:hideMark/>
          </w:tcPr>
          <w:p w14:paraId="61902FAC"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838" w:type="dxa"/>
            <w:tcBorders>
              <w:top w:val="nil"/>
              <w:left w:val="nil"/>
              <w:bottom w:val="single" w:sz="4" w:space="0" w:color="auto"/>
              <w:right w:val="single" w:sz="4" w:space="0" w:color="auto"/>
            </w:tcBorders>
            <w:shd w:val="clear" w:color="000000" w:fill="E9ABAB"/>
            <w:vAlign w:val="center"/>
            <w:hideMark/>
          </w:tcPr>
          <w:p w14:paraId="7381D364"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-0,145</w:t>
            </w:r>
          </w:p>
        </w:tc>
        <w:tc>
          <w:tcPr>
            <w:tcW w:w="1134" w:type="dxa"/>
            <w:tcBorders>
              <w:top w:val="nil"/>
              <w:left w:val="nil"/>
              <w:bottom w:val="single" w:sz="4" w:space="0" w:color="auto"/>
              <w:right w:val="single" w:sz="4" w:space="0" w:color="auto"/>
            </w:tcBorders>
            <w:shd w:val="clear" w:color="000000" w:fill="E9ABAB"/>
            <w:vAlign w:val="center"/>
            <w:hideMark/>
          </w:tcPr>
          <w:p w14:paraId="56979179"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-0,371</w:t>
            </w:r>
          </w:p>
        </w:tc>
        <w:tc>
          <w:tcPr>
            <w:tcW w:w="992" w:type="dxa"/>
            <w:tcBorders>
              <w:top w:val="nil"/>
              <w:left w:val="nil"/>
              <w:bottom w:val="single" w:sz="4" w:space="0" w:color="auto"/>
              <w:right w:val="single" w:sz="4" w:space="0" w:color="auto"/>
            </w:tcBorders>
            <w:shd w:val="clear" w:color="000000" w:fill="C5E0B3"/>
            <w:vAlign w:val="center"/>
            <w:hideMark/>
          </w:tcPr>
          <w:p w14:paraId="0FB4A966"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0,0803</w:t>
            </w:r>
          </w:p>
        </w:tc>
        <w:tc>
          <w:tcPr>
            <w:tcW w:w="1134" w:type="dxa"/>
            <w:tcBorders>
              <w:top w:val="nil"/>
              <w:left w:val="nil"/>
              <w:bottom w:val="single" w:sz="4" w:space="0" w:color="auto"/>
              <w:right w:val="single" w:sz="4" w:space="0" w:color="auto"/>
            </w:tcBorders>
            <w:shd w:val="clear" w:color="auto" w:fill="auto"/>
            <w:vAlign w:val="center"/>
            <w:hideMark/>
          </w:tcPr>
          <w:p w14:paraId="20D36AC0"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-0,502</w:t>
            </w:r>
          </w:p>
        </w:tc>
      </w:tr>
      <w:tr w:rsidR="004B2665" w:rsidRPr="005A3C94" w14:paraId="08C8E47F" w14:textId="77777777" w:rsidTr="004B2665">
        <w:trPr>
          <w:trHeight w:val="435"/>
          <w:jc w:val="center"/>
        </w:trPr>
        <w:tc>
          <w:tcPr>
            <w:tcW w:w="641" w:type="dxa"/>
            <w:vMerge/>
            <w:tcBorders>
              <w:top w:val="nil"/>
              <w:left w:val="single" w:sz="4" w:space="0" w:color="auto"/>
              <w:bottom w:val="single" w:sz="4" w:space="0" w:color="000000"/>
              <w:right w:val="single" w:sz="4" w:space="0" w:color="auto"/>
            </w:tcBorders>
            <w:vAlign w:val="center"/>
            <w:hideMark/>
          </w:tcPr>
          <w:p w14:paraId="131A6936" w14:textId="77777777" w:rsidR="004B2665" w:rsidRPr="005A3C94" w:rsidRDefault="004B2665" w:rsidP="004B266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7742EC32"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838" w:type="dxa"/>
            <w:tcBorders>
              <w:top w:val="nil"/>
              <w:left w:val="nil"/>
              <w:bottom w:val="single" w:sz="4" w:space="0" w:color="auto"/>
              <w:right w:val="single" w:sz="4" w:space="0" w:color="auto"/>
            </w:tcBorders>
            <w:shd w:val="clear" w:color="000000" w:fill="C5E0B3"/>
            <w:vAlign w:val="center"/>
            <w:hideMark/>
          </w:tcPr>
          <w:p w14:paraId="5D6C211D"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-0,166</w:t>
            </w:r>
          </w:p>
        </w:tc>
        <w:tc>
          <w:tcPr>
            <w:tcW w:w="1134" w:type="dxa"/>
            <w:tcBorders>
              <w:top w:val="nil"/>
              <w:left w:val="nil"/>
              <w:bottom w:val="single" w:sz="4" w:space="0" w:color="auto"/>
              <w:right w:val="single" w:sz="4" w:space="0" w:color="auto"/>
            </w:tcBorders>
            <w:shd w:val="clear" w:color="000000" w:fill="C5E0B3"/>
            <w:vAlign w:val="center"/>
            <w:hideMark/>
          </w:tcPr>
          <w:p w14:paraId="183F458E"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-0,38</w:t>
            </w:r>
          </w:p>
        </w:tc>
        <w:tc>
          <w:tcPr>
            <w:tcW w:w="992" w:type="dxa"/>
            <w:tcBorders>
              <w:top w:val="nil"/>
              <w:left w:val="nil"/>
              <w:bottom w:val="single" w:sz="4" w:space="0" w:color="auto"/>
              <w:right w:val="single" w:sz="4" w:space="0" w:color="auto"/>
            </w:tcBorders>
            <w:shd w:val="clear" w:color="000000" w:fill="E9ABAB"/>
            <w:vAlign w:val="center"/>
            <w:hideMark/>
          </w:tcPr>
          <w:p w14:paraId="4E5C2144"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-0,437</w:t>
            </w:r>
          </w:p>
        </w:tc>
        <w:tc>
          <w:tcPr>
            <w:tcW w:w="1134" w:type="dxa"/>
            <w:tcBorders>
              <w:top w:val="nil"/>
              <w:left w:val="nil"/>
              <w:bottom w:val="single" w:sz="4" w:space="0" w:color="auto"/>
              <w:right w:val="single" w:sz="4" w:space="0" w:color="auto"/>
            </w:tcBorders>
            <w:shd w:val="clear" w:color="000000" w:fill="E9ABAB"/>
            <w:vAlign w:val="center"/>
            <w:hideMark/>
          </w:tcPr>
          <w:p w14:paraId="3F750EE3"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-0,27</w:t>
            </w:r>
          </w:p>
        </w:tc>
      </w:tr>
      <w:tr w:rsidR="004B2665" w:rsidRPr="005A3C94" w14:paraId="11B42E0A" w14:textId="77777777" w:rsidTr="004B2665">
        <w:trPr>
          <w:trHeight w:val="315"/>
          <w:jc w:val="center"/>
        </w:trPr>
        <w:tc>
          <w:tcPr>
            <w:tcW w:w="641" w:type="dxa"/>
            <w:vMerge w:val="restart"/>
            <w:tcBorders>
              <w:top w:val="nil"/>
              <w:left w:val="single" w:sz="4" w:space="0" w:color="auto"/>
              <w:bottom w:val="single" w:sz="4" w:space="0" w:color="000000"/>
              <w:right w:val="single" w:sz="4" w:space="0" w:color="auto"/>
            </w:tcBorders>
            <w:shd w:val="clear" w:color="auto" w:fill="auto"/>
            <w:vAlign w:val="center"/>
            <w:hideMark/>
          </w:tcPr>
          <w:p w14:paraId="1DF2A14C"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3 tárgy</w:t>
            </w:r>
          </w:p>
        </w:tc>
        <w:tc>
          <w:tcPr>
            <w:tcW w:w="1782" w:type="dxa"/>
            <w:tcBorders>
              <w:top w:val="nil"/>
              <w:left w:val="nil"/>
              <w:bottom w:val="single" w:sz="4" w:space="0" w:color="auto"/>
              <w:right w:val="single" w:sz="4" w:space="0" w:color="auto"/>
            </w:tcBorders>
            <w:shd w:val="clear" w:color="auto" w:fill="auto"/>
            <w:vAlign w:val="center"/>
            <w:hideMark/>
          </w:tcPr>
          <w:p w14:paraId="0022AD31"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838" w:type="dxa"/>
            <w:tcBorders>
              <w:top w:val="nil"/>
              <w:left w:val="nil"/>
              <w:bottom w:val="single" w:sz="4" w:space="0" w:color="auto"/>
              <w:right w:val="single" w:sz="4" w:space="0" w:color="auto"/>
            </w:tcBorders>
            <w:shd w:val="clear" w:color="000000" w:fill="C5E0B3"/>
            <w:vAlign w:val="center"/>
            <w:hideMark/>
          </w:tcPr>
          <w:p w14:paraId="4D5AD657"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-0,139</w:t>
            </w:r>
          </w:p>
        </w:tc>
        <w:tc>
          <w:tcPr>
            <w:tcW w:w="1134" w:type="dxa"/>
            <w:tcBorders>
              <w:top w:val="nil"/>
              <w:left w:val="nil"/>
              <w:bottom w:val="single" w:sz="4" w:space="0" w:color="auto"/>
              <w:right w:val="single" w:sz="4" w:space="0" w:color="auto"/>
            </w:tcBorders>
            <w:shd w:val="clear" w:color="000000" w:fill="C5E0B3"/>
            <w:vAlign w:val="center"/>
            <w:hideMark/>
          </w:tcPr>
          <w:p w14:paraId="30DDA186"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0,359</w:t>
            </w:r>
          </w:p>
        </w:tc>
        <w:tc>
          <w:tcPr>
            <w:tcW w:w="992" w:type="dxa"/>
            <w:tcBorders>
              <w:top w:val="nil"/>
              <w:left w:val="nil"/>
              <w:bottom w:val="single" w:sz="4" w:space="0" w:color="auto"/>
              <w:right w:val="single" w:sz="4" w:space="0" w:color="auto"/>
            </w:tcBorders>
            <w:shd w:val="clear" w:color="auto" w:fill="auto"/>
            <w:vAlign w:val="center"/>
            <w:hideMark/>
          </w:tcPr>
          <w:p w14:paraId="418A5258"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0,34</w:t>
            </w:r>
          </w:p>
        </w:tc>
        <w:tc>
          <w:tcPr>
            <w:tcW w:w="1134" w:type="dxa"/>
            <w:tcBorders>
              <w:top w:val="nil"/>
              <w:left w:val="nil"/>
              <w:bottom w:val="single" w:sz="4" w:space="0" w:color="auto"/>
              <w:right w:val="single" w:sz="4" w:space="0" w:color="auto"/>
            </w:tcBorders>
            <w:shd w:val="clear" w:color="000000" w:fill="C5E0B3"/>
            <w:vAlign w:val="center"/>
            <w:hideMark/>
          </w:tcPr>
          <w:p w14:paraId="7285CA70"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0,546</w:t>
            </w:r>
          </w:p>
        </w:tc>
      </w:tr>
      <w:tr w:rsidR="004B2665" w:rsidRPr="005A3C94" w14:paraId="052800D2" w14:textId="77777777" w:rsidTr="004B2665">
        <w:trPr>
          <w:trHeight w:val="375"/>
          <w:jc w:val="center"/>
        </w:trPr>
        <w:tc>
          <w:tcPr>
            <w:tcW w:w="641" w:type="dxa"/>
            <w:vMerge/>
            <w:tcBorders>
              <w:top w:val="nil"/>
              <w:left w:val="single" w:sz="4" w:space="0" w:color="auto"/>
              <w:bottom w:val="single" w:sz="4" w:space="0" w:color="000000"/>
              <w:right w:val="single" w:sz="4" w:space="0" w:color="auto"/>
            </w:tcBorders>
            <w:vAlign w:val="center"/>
            <w:hideMark/>
          </w:tcPr>
          <w:p w14:paraId="4856F925" w14:textId="77777777" w:rsidR="004B2665" w:rsidRPr="005A3C94" w:rsidRDefault="004B2665" w:rsidP="004B266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4BA0CD2B"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838" w:type="dxa"/>
            <w:tcBorders>
              <w:top w:val="nil"/>
              <w:left w:val="nil"/>
              <w:bottom w:val="single" w:sz="4" w:space="0" w:color="auto"/>
              <w:right w:val="single" w:sz="4" w:space="0" w:color="auto"/>
            </w:tcBorders>
            <w:shd w:val="clear" w:color="auto" w:fill="auto"/>
            <w:vAlign w:val="center"/>
            <w:hideMark/>
          </w:tcPr>
          <w:p w14:paraId="72EBC475"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-0,299</w:t>
            </w:r>
          </w:p>
        </w:tc>
        <w:tc>
          <w:tcPr>
            <w:tcW w:w="1134" w:type="dxa"/>
            <w:tcBorders>
              <w:top w:val="nil"/>
              <w:left w:val="nil"/>
              <w:bottom w:val="single" w:sz="4" w:space="0" w:color="auto"/>
              <w:right w:val="single" w:sz="4" w:space="0" w:color="auto"/>
            </w:tcBorders>
            <w:shd w:val="clear" w:color="000000" w:fill="E9ABAB"/>
            <w:vAlign w:val="center"/>
            <w:hideMark/>
          </w:tcPr>
          <w:p w14:paraId="59DCB48A"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-0,769</w:t>
            </w:r>
          </w:p>
        </w:tc>
        <w:tc>
          <w:tcPr>
            <w:tcW w:w="992" w:type="dxa"/>
            <w:tcBorders>
              <w:top w:val="nil"/>
              <w:left w:val="nil"/>
              <w:bottom w:val="single" w:sz="4" w:space="0" w:color="auto"/>
              <w:right w:val="single" w:sz="4" w:space="0" w:color="auto"/>
            </w:tcBorders>
            <w:shd w:val="clear" w:color="000000" w:fill="C5E0B3"/>
            <w:vAlign w:val="center"/>
            <w:hideMark/>
          </w:tcPr>
          <w:p w14:paraId="0306EBAD"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0,365</w:t>
            </w:r>
          </w:p>
        </w:tc>
        <w:tc>
          <w:tcPr>
            <w:tcW w:w="1134" w:type="dxa"/>
            <w:tcBorders>
              <w:top w:val="nil"/>
              <w:left w:val="nil"/>
              <w:bottom w:val="single" w:sz="4" w:space="0" w:color="auto"/>
              <w:right w:val="single" w:sz="4" w:space="0" w:color="auto"/>
            </w:tcBorders>
            <w:shd w:val="clear" w:color="auto" w:fill="auto"/>
            <w:vAlign w:val="center"/>
            <w:hideMark/>
          </w:tcPr>
          <w:p w14:paraId="3B8C01A6"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-0,346</w:t>
            </w:r>
          </w:p>
        </w:tc>
      </w:tr>
      <w:tr w:rsidR="004B2665" w:rsidRPr="005A3C94" w14:paraId="5E81A2C6" w14:textId="77777777" w:rsidTr="004B2665">
        <w:trPr>
          <w:trHeight w:val="315"/>
          <w:jc w:val="center"/>
        </w:trPr>
        <w:tc>
          <w:tcPr>
            <w:tcW w:w="641" w:type="dxa"/>
            <w:vMerge w:val="restart"/>
            <w:tcBorders>
              <w:top w:val="nil"/>
              <w:left w:val="single" w:sz="4" w:space="0" w:color="auto"/>
              <w:bottom w:val="single" w:sz="8" w:space="0" w:color="000000"/>
              <w:right w:val="single" w:sz="4" w:space="0" w:color="auto"/>
            </w:tcBorders>
            <w:shd w:val="clear" w:color="auto" w:fill="auto"/>
            <w:vAlign w:val="center"/>
            <w:hideMark/>
          </w:tcPr>
          <w:p w14:paraId="6AB435A7"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4 tárgy</w:t>
            </w:r>
          </w:p>
        </w:tc>
        <w:tc>
          <w:tcPr>
            <w:tcW w:w="1782" w:type="dxa"/>
            <w:tcBorders>
              <w:top w:val="nil"/>
              <w:left w:val="nil"/>
              <w:bottom w:val="single" w:sz="4" w:space="0" w:color="auto"/>
              <w:right w:val="single" w:sz="4" w:space="0" w:color="auto"/>
            </w:tcBorders>
            <w:shd w:val="clear" w:color="auto" w:fill="auto"/>
            <w:vAlign w:val="center"/>
            <w:hideMark/>
          </w:tcPr>
          <w:p w14:paraId="1E7B3ECE"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838" w:type="dxa"/>
            <w:tcBorders>
              <w:top w:val="nil"/>
              <w:left w:val="nil"/>
              <w:bottom w:val="single" w:sz="4" w:space="0" w:color="auto"/>
              <w:right w:val="single" w:sz="4" w:space="0" w:color="auto"/>
            </w:tcBorders>
            <w:shd w:val="clear" w:color="000000" w:fill="E9ABAB"/>
            <w:vAlign w:val="center"/>
            <w:hideMark/>
          </w:tcPr>
          <w:p w14:paraId="79253754"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0,006</w:t>
            </w:r>
          </w:p>
        </w:tc>
        <w:tc>
          <w:tcPr>
            <w:tcW w:w="1134" w:type="dxa"/>
            <w:tcBorders>
              <w:top w:val="nil"/>
              <w:left w:val="nil"/>
              <w:bottom w:val="single" w:sz="4" w:space="0" w:color="auto"/>
              <w:right w:val="single" w:sz="4" w:space="0" w:color="auto"/>
            </w:tcBorders>
            <w:shd w:val="clear" w:color="000000" w:fill="E9ABAB"/>
            <w:vAlign w:val="center"/>
            <w:hideMark/>
          </w:tcPr>
          <w:p w14:paraId="23C89132"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-0,032</w:t>
            </w:r>
          </w:p>
        </w:tc>
        <w:tc>
          <w:tcPr>
            <w:tcW w:w="992" w:type="dxa"/>
            <w:tcBorders>
              <w:top w:val="nil"/>
              <w:left w:val="nil"/>
              <w:bottom w:val="single" w:sz="4" w:space="0" w:color="auto"/>
              <w:right w:val="single" w:sz="4" w:space="0" w:color="auto"/>
            </w:tcBorders>
            <w:shd w:val="clear" w:color="000000" w:fill="C5E0B3"/>
            <w:vAlign w:val="center"/>
            <w:hideMark/>
          </w:tcPr>
          <w:p w14:paraId="6076F26B"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0,016</w:t>
            </w:r>
          </w:p>
        </w:tc>
        <w:tc>
          <w:tcPr>
            <w:tcW w:w="1134" w:type="dxa"/>
            <w:tcBorders>
              <w:top w:val="nil"/>
              <w:left w:val="nil"/>
              <w:bottom w:val="single" w:sz="4" w:space="0" w:color="auto"/>
              <w:right w:val="single" w:sz="4" w:space="0" w:color="auto"/>
            </w:tcBorders>
            <w:shd w:val="clear" w:color="000000" w:fill="E9ABAB"/>
            <w:vAlign w:val="center"/>
            <w:hideMark/>
          </w:tcPr>
          <w:p w14:paraId="4E3EE91B"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0,096</w:t>
            </w:r>
          </w:p>
        </w:tc>
      </w:tr>
      <w:tr w:rsidR="004B2665" w:rsidRPr="005A3C94" w14:paraId="67114856" w14:textId="77777777" w:rsidTr="004B2665">
        <w:trPr>
          <w:trHeight w:val="405"/>
          <w:jc w:val="center"/>
        </w:trPr>
        <w:tc>
          <w:tcPr>
            <w:tcW w:w="641" w:type="dxa"/>
            <w:vMerge/>
            <w:tcBorders>
              <w:top w:val="nil"/>
              <w:left w:val="single" w:sz="4" w:space="0" w:color="auto"/>
              <w:bottom w:val="single" w:sz="8" w:space="0" w:color="000000"/>
              <w:right w:val="single" w:sz="4" w:space="0" w:color="auto"/>
            </w:tcBorders>
            <w:vAlign w:val="center"/>
            <w:hideMark/>
          </w:tcPr>
          <w:p w14:paraId="2E4E6A56" w14:textId="77777777" w:rsidR="004B2665" w:rsidRPr="005A3C94" w:rsidRDefault="004B2665" w:rsidP="004B266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8" w:space="0" w:color="auto"/>
              <w:right w:val="single" w:sz="4" w:space="0" w:color="auto"/>
            </w:tcBorders>
            <w:shd w:val="clear" w:color="000000" w:fill="D9D9D9"/>
            <w:vAlign w:val="center"/>
            <w:hideMark/>
          </w:tcPr>
          <w:p w14:paraId="11522802"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838" w:type="dxa"/>
            <w:tcBorders>
              <w:top w:val="nil"/>
              <w:left w:val="nil"/>
              <w:bottom w:val="single" w:sz="8" w:space="0" w:color="auto"/>
              <w:right w:val="single" w:sz="4" w:space="0" w:color="auto"/>
            </w:tcBorders>
            <w:shd w:val="clear" w:color="000000" w:fill="C5E0B3"/>
            <w:vAlign w:val="center"/>
            <w:hideMark/>
          </w:tcPr>
          <w:p w14:paraId="17D58223"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0,265</w:t>
            </w:r>
          </w:p>
        </w:tc>
        <w:tc>
          <w:tcPr>
            <w:tcW w:w="1134" w:type="dxa"/>
            <w:tcBorders>
              <w:top w:val="nil"/>
              <w:left w:val="nil"/>
              <w:bottom w:val="single" w:sz="8" w:space="0" w:color="auto"/>
              <w:right w:val="single" w:sz="4" w:space="0" w:color="auto"/>
            </w:tcBorders>
            <w:shd w:val="clear" w:color="000000" w:fill="C5E0B3"/>
            <w:vAlign w:val="center"/>
            <w:hideMark/>
          </w:tcPr>
          <w:p w14:paraId="74EE2F09"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0,288</w:t>
            </w:r>
          </w:p>
        </w:tc>
        <w:tc>
          <w:tcPr>
            <w:tcW w:w="992" w:type="dxa"/>
            <w:tcBorders>
              <w:top w:val="nil"/>
              <w:left w:val="nil"/>
              <w:bottom w:val="single" w:sz="8" w:space="0" w:color="auto"/>
              <w:right w:val="single" w:sz="4" w:space="0" w:color="auto"/>
            </w:tcBorders>
            <w:shd w:val="clear" w:color="000000" w:fill="E9ABAB"/>
            <w:vAlign w:val="center"/>
            <w:hideMark/>
          </w:tcPr>
          <w:p w14:paraId="708F608E"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0,011</w:t>
            </w:r>
          </w:p>
        </w:tc>
        <w:tc>
          <w:tcPr>
            <w:tcW w:w="1134" w:type="dxa"/>
            <w:tcBorders>
              <w:top w:val="nil"/>
              <w:left w:val="nil"/>
              <w:bottom w:val="single" w:sz="8" w:space="0" w:color="auto"/>
              <w:right w:val="single" w:sz="4" w:space="0" w:color="auto"/>
            </w:tcBorders>
            <w:shd w:val="clear" w:color="000000" w:fill="C5E0B3"/>
            <w:vAlign w:val="center"/>
            <w:hideMark/>
          </w:tcPr>
          <w:p w14:paraId="47782431"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0,173</w:t>
            </w:r>
          </w:p>
        </w:tc>
      </w:tr>
      <w:tr w:rsidR="004B2665" w:rsidRPr="005A3C94" w14:paraId="470CD117" w14:textId="77777777" w:rsidTr="004B2665">
        <w:trPr>
          <w:trHeight w:val="450"/>
          <w:jc w:val="center"/>
        </w:trPr>
        <w:tc>
          <w:tcPr>
            <w:tcW w:w="641" w:type="dxa"/>
            <w:vMerge w:val="restart"/>
            <w:tcBorders>
              <w:top w:val="nil"/>
              <w:left w:val="single" w:sz="4" w:space="0" w:color="auto"/>
              <w:bottom w:val="single" w:sz="4" w:space="0" w:color="000000"/>
              <w:right w:val="single" w:sz="4" w:space="0" w:color="auto"/>
            </w:tcBorders>
            <w:shd w:val="clear" w:color="auto" w:fill="auto"/>
            <w:vAlign w:val="center"/>
            <w:hideMark/>
          </w:tcPr>
          <w:p w14:paraId="1D10F199" w14:textId="77777777" w:rsidR="004B2665" w:rsidRPr="005A3C94" w:rsidRDefault="004B2665" w:rsidP="004B266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Total</w:t>
            </w:r>
          </w:p>
        </w:tc>
        <w:tc>
          <w:tcPr>
            <w:tcW w:w="1782" w:type="dxa"/>
            <w:tcBorders>
              <w:top w:val="nil"/>
              <w:left w:val="nil"/>
              <w:bottom w:val="single" w:sz="4" w:space="0" w:color="auto"/>
              <w:right w:val="single" w:sz="4" w:space="0" w:color="auto"/>
            </w:tcBorders>
            <w:shd w:val="clear" w:color="auto" w:fill="auto"/>
            <w:vAlign w:val="center"/>
            <w:hideMark/>
          </w:tcPr>
          <w:p w14:paraId="2E1132B4"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838" w:type="dxa"/>
            <w:tcBorders>
              <w:top w:val="nil"/>
              <w:left w:val="nil"/>
              <w:bottom w:val="single" w:sz="4" w:space="0" w:color="auto"/>
              <w:right w:val="single" w:sz="4" w:space="0" w:color="auto"/>
            </w:tcBorders>
            <w:shd w:val="clear" w:color="000000" w:fill="E9ABAB"/>
            <w:vAlign w:val="center"/>
            <w:hideMark/>
          </w:tcPr>
          <w:p w14:paraId="64D2FF1A"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-0,068</w:t>
            </w:r>
          </w:p>
        </w:tc>
        <w:tc>
          <w:tcPr>
            <w:tcW w:w="1134" w:type="dxa"/>
            <w:tcBorders>
              <w:top w:val="nil"/>
              <w:left w:val="nil"/>
              <w:bottom w:val="single" w:sz="4" w:space="0" w:color="auto"/>
              <w:right w:val="single" w:sz="4" w:space="0" w:color="auto"/>
            </w:tcBorders>
            <w:shd w:val="clear" w:color="000000" w:fill="E9ABAB"/>
            <w:vAlign w:val="center"/>
            <w:hideMark/>
          </w:tcPr>
          <w:p w14:paraId="0D916EE0"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0,048</w:t>
            </w:r>
          </w:p>
        </w:tc>
        <w:tc>
          <w:tcPr>
            <w:tcW w:w="992" w:type="dxa"/>
            <w:tcBorders>
              <w:top w:val="nil"/>
              <w:left w:val="nil"/>
              <w:bottom w:val="single" w:sz="4" w:space="0" w:color="auto"/>
              <w:right w:val="single" w:sz="4" w:space="0" w:color="auto"/>
            </w:tcBorders>
            <w:shd w:val="clear" w:color="000000" w:fill="C5E0B3"/>
            <w:vAlign w:val="center"/>
            <w:hideMark/>
          </w:tcPr>
          <w:p w14:paraId="1F574678"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0,137</w:t>
            </w:r>
          </w:p>
        </w:tc>
        <w:tc>
          <w:tcPr>
            <w:tcW w:w="1134" w:type="dxa"/>
            <w:tcBorders>
              <w:top w:val="nil"/>
              <w:left w:val="nil"/>
              <w:bottom w:val="single" w:sz="4" w:space="0" w:color="auto"/>
              <w:right w:val="single" w:sz="4" w:space="0" w:color="auto"/>
            </w:tcBorders>
            <w:shd w:val="clear" w:color="000000" w:fill="C5E0B3"/>
            <w:vAlign w:val="center"/>
            <w:hideMark/>
          </w:tcPr>
          <w:p w14:paraId="72371AD2"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0,154</w:t>
            </w:r>
          </w:p>
        </w:tc>
      </w:tr>
      <w:tr w:rsidR="004B2665" w:rsidRPr="005A3C94" w14:paraId="319D2EAE" w14:textId="77777777" w:rsidTr="004B2665">
        <w:trPr>
          <w:trHeight w:val="375"/>
          <w:jc w:val="center"/>
        </w:trPr>
        <w:tc>
          <w:tcPr>
            <w:tcW w:w="641" w:type="dxa"/>
            <w:vMerge/>
            <w:tcBorders>
              <w:top w:val="nil"/>
              <w:left w:val="single" w:sz="4" w:space="0" w:color="auto"/>
              <w:bottom w:val="single" w:sz="4" w:space="0" w:color="000000"/>
              <w:right w:val="single" w:sz="4" w:space="0" w:color="auto"/>
            </w:tcBorders>
            <w:vAlign w:val="center"/>
            <w:hideMark/>
          </w:tcPr>
          <w:p w14:paraId="51BE4149" w14:textId="77777777" w:rsidR="004B2665" w:rsidRPr="005A3C94" w:rsidRDefault="004B2665" w:rsidP="004B266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0ADB76DF" w14:textId="77777777" w:rsidR="004B2665" w:rsidRPr="005A3C94" w:rsidRDefault="004B2665" w:rsidP="004B266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838" w:type="dxa"/>
            <w:tcBorders>
              <w:top w:val="nil"/>
              <w:left w:val="nil"/>
              <w:bottom w:val="single" w:sz="4" w:space="0" w:color="auto"/>
              <w:right w:val="single" w:sz="4" w:space="0" w:color="auto"/>
            </w:tcBorders>
            <w:shd w:val="clear" w:color="000000" w:fill="C5E0B3"/>
            <w:vAlign w:val="center"/>
            <w:hideMark/>
          </w:tcPr>
          <w:p w14:paraId="206C0B53"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0,068</w:t>
            </w:r>
          </w:p>
        </w:tc>
        <w:tc>
          <w:tcPr>
            <w:tcW w:w="1134" w:type="dxa"/>
            <w:tcBorders>
              <w:top w:val="nil"/>
              <w:left w:val="nil"/>
              <w:bottom w:val="single" w:sz="4" w:space="0" w:color="auto"/>
              <w:right w:val="single" w:sz="4" w:space="0" w:color="auto"/>
            </w:tcBorders>
            <w:shd w:val="clear" w:color="000000" w:fill="C5E0B3"/>
            <w:vAlign w:val="center"/>
            <w:hideMark/>
          </w:tcPr>
          <w:p w14:paraId="6BFB3F79"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-0,048</w:t>
            </w:r>
          </w:p>
        </w:tc>
        <w:tc>
          <w:tcPr>
            <w:tcW w:w="992" w:type="dxa"/>
            <w:tcBorders>
              <w:top w:val="nil"/>
              <w:left w:val="nil"/>
              <w:bottom w:val="single" w:sz="4" w:space="0" w:color="auto"/>
              <w:right w:val="single" w:sz="4" w:space="0" w:color="auto"/>
            </w:tcBorders>
            <w:shd w:val="clear" w:color="000000" w:fill="E9ABAB"/>
            <w:vAlign w:val="center"/>
            <w:hideMark/>
          </w:tcPr>
          <w:p w14:paraId="20BEFA5F"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-0,045</w:t>
            </w:r>
          </w:p>
        </w:tc>
        <w:tc>
          <w:tcPr>
            <w:tcW w:w="1134" w:type="dxa"/>
            <w:tcBorders>
              <w:top w:val="nil"/>
              <w:left w:val="nil"/>
              <w:bottom w:val="single" w:sz="4" w:space="0" w:color="auto"/>
              <w:right w:val="single" w:sz="4" w:space="0" w:color="auto"/>
            </w:tcBorders>
            <w:shd w:val="clear" w:color="000000" w:fill="C5E0B3"/>
            <w:vAlign w:val="center"/>
            <w:hideMark/>
          </w:tcPr>
          <w:p w14:paraId="5997DA43" w14:textId="77777777" w:rsidR="004B2665" w:rsidRPr="005A3C94" w:rsidRDefault="004B2665" w:rsidP="004B266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-0,02</w:t>
            </w:r>
          </w:p>
        </w:tc>
      </w:tr>
    </w:tbl>
    <w:p w14:paraId="12A6B9A3" w14:textId="77777777" w:rsidR="00964699" w:rsidRPr="005A3C94" w:rsidRDefault="00964699" w:rsidP="004B2665">
      <w:pPr>
        <w:rPr>
          <w:rFonts w:ascii="Times New Roman" w:hAnsi="Times New Roman" w:cs="Times New Roman"/>
          <w:sz w:val="24"/>
          <w:szCs w:val="24"/>
        </w:rPr>
      </w:pPr>
    </w:p>
    <w:p w14:paraId="0DD8B95E" w14:textId="10AA16CA" w:rsidR="004B2665" w:rsidRPr="005A3C94" w:rsidRDefault="00964699" w:rsidP="00964699">
      <w:pPr>
        <w:jc w:val="both"/>
        <w:rPr>
          <w:rFonts w:ascii="Times New Roman" w:hAnsi="Times New Roman" w:cs="Times New Roman"/>
          <w:sz w:val="24"/>
          <w:szCs w:val="24"/>
        </w:rPr>
      </w:pPr>
      <w:r w:rsidRPr="005A3C94">
        <w:rPr>
          <w:rFonts w:ascii="Times New Roman" w:hAnsi="Times New Roman" w:cs="Times New Roman"/>
          <w:sz w:val="24"/>
          <w:szCs w:val="24"/>
        </w:rPr>
        <w:t>Mind a két fajta csoportbontás megmutatja, hogy minél jobb körülmények közül származnak a diákok, annál hajlamosabbak pozitív válaszokat adni, azaz annál többször tudtak azonosulni a tesztben használt példamondatokkal.</w:t>
      </w:r>
    </w:p>
    <w:p w14:paraId="70421550" w14:textId="190A92FB" w:rsidR="00964699" w:rsidRPr="005A3C94" w:rsidRDefault="00964699" w:rsidP="00964699">
      <w:pPr>
        <w:pStyle w:val="Cmsor4"/>
      </w:pPr>
      <w:r w:rsidRPr="005A3C94">
        <w:t>Összevetés korábbi eredményekkel</w:t>
      </w:r>
    </w:p>
    <w:p w14:paraId="6C8A2714" w14:textId="49781F37" w:rsidR="002076BC" w:rsidRPr="005A3C94" w:rsidRDefault="00964699" w:rsidP="003B7DE8">
      <w:pPr>
        <w:spacing w:before="240"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 fenti eredményeket összevetettük a </w:t>
      </w:r>
      <w:proofErr w:type="spellStart"/>
      <w:r w:rsidRPr="005A3C94">
        <w:rPr>
          <w:rFonts w:ascii="Times New Roman" w:hAnsi="Times New Roman" w:cs="Times New Roman"/>
          <w:sz w:val="24"/>
          <w:szCs w:val="24"/>
        </w:rPr>
        <w:t>T-Tudok</w:t>
      </w:r>
      <w:proofErr w:type="spellEnd"/>
      <w:r w:rsidRPr="005A3C94">
        <w:rPr>
          <w:rFonts w:ascii="Times New Roman" w:hAnsi="Times New Roman" w:cs="Times New Roman"/>
          <w:sz w:val="24"/>
          <w:szCs w:val="24"/>
        </w:rPr>
        <w:t xml:space="preserve"> </w:t>
      </w:r>
      <w:proofErr w:type="spellStart"/>
      <w:r w:rsidRPr="005A3C94">
        <w:rPr>
          <w:rFonts w:ascii="Times New Roman" w:hAnsi="Times New Roman" w:cs="Times New Roman"/>
          <w:sz w:val="24"/>
          <w:szCs w:val="24"/>
        </w:rPr>
        <w:t>Zrt</w:t>
      </w:r>
      <w:proofErr w:type="spellEnd"/>
      <w:r w:rsidRPr="005A3C94">
        <w:rPr>
          <w:rFonts w:ascii="Times New Roman" w:hAnsi="Times New Roman" w:cs="Times New Roman"/>
          <w:sz w:val="24"/>
          <w:szCs w:val="24"/>
        </w:rPr>
        <w:t xml:space="preserve">. egy korábbi, 2014-es mérésével, amelyet a jelenlegi program során is </w:t>
      </w:r>
      <w:r w:rsidR="00AB5999" w:rsidRPr="005A3C94">
        <w:rPr>
          <w:rFonts w:ascii="Times New Roman" w:hAnsi="Times New Roman" w:cs="Times New Roman"/>
          <w:sz w:val="24"/>
          <w:szCs w:val="24"/>
        </w:rPr>
        <w:t>vizsgált pécsi iskolákban végeztünk el</w:t>
      </w:r>
      <w:r w:rsidRPr="005A3C94">
        <w:rPr>
          <w:rFonts w:ascii="Times New Roman" w:hAnsi="Times New Roman" w:cs="Times New Roman"/>
          <w:sz w:val="24"/>
          <w:szCs w:val="24"/>
        </w:rPr>
        <w:t>,</w:t>
      </w:r>
      <w:r w:rsidR="00AB5999" w:rsidRPr="005A3C94">
        <w:rPr>
          <w:rFonts w:ascii="Times New Roman" w:hAnsi="Times New Roman" w:cs="Times New Roman"/>
          <w:sz w:val="24"/>
          <w:szCs w:val="24"/>
        </w:rPr>
        <w:t xml:space="preserve"> hetedik osztályos diákokkal. </w:t>
      </w:r>
    </w:p>
    <w:p w14:paraId="0CCF5E0A" w14:textId="732B6E63" w:rsidR="00F4610D" w:rsidRPr="005A3C94" w:rsidRDefault="00DF1D13" w:rsidP="00F4610D">
      <w:pPr>
        <w:pStyle w:val="Kpalrs"/>
        <w:keepNext/>
      </w:pPr>
      <w:r>
        <w:fldChar w:fldCharType="begin"/>
      </w:r>
      <w:r>
        <w:instrText xml:space="preserve"> SEQ táblázat \* ARABIC </w:instrText>
      </w:r>
      <w:r>
        <w:fldChar w:fldCharType="separate"/>
      </w:r>
      <w:r w:rsidR="00DC5809">
        <w:rPr>
          <w:noProof/>
        </w:rPr>
        <w:t>6</w:t>
      </w:r>
      <w:r>
        <w:rPr>
          <w:noProof/>
        </w:rPr>
        <w:fldChar w:fldCharType="end"/>
      </w:r>
      <w:r w:rsidR="00F4610D" w:rsidRPr="005A3C94">
        <w:t xml:space="preserve">. táblázat: A </w:t>
      </w:r>
      <w:r w:rsidR="00F4610D" w:rsidRPr="005A3C94">
        <w:rPr>
          <w:u w:val="single"/>
        </w:rPr>
        <w:t>családi ellátottság</w:t>
      </w:r>
      <w:r w:rsidR="00F4610D" w:rsidRPr="005A3C94">
        <w:t xml:space="preserve"> szerinti átlagos pozitív standardizált eloszlása a </w:t>
      </w:r>
      <w:proofErr w:type="spellStart"/>
      <w:r w:rsidR="00F4610D" w:rsidRPr="005A3C94">
        <w:t>T-Tudok</w:t>
      </w:r>
      <w:proofErr w:type="spellEnd"/>
      <w:r w:rsidR="00F4610D" w:rsidRPr="005A3C94">
        <w:t xml:space="preserve"> 2014-es mérésén</w:t>
      </w:r>
    </w:p>
    <w:tbl>
      <w:tblPr>
        <w:tblStyle w:val="Rcsostblzat"/>
        <w:tblW w:w="0" w:type="auto"/>
        <w:jc w:val="center"/>
        <w:tblLook w:val="04A0" w:firstRow="1" w:lastRow="0" w:firstColumn="1" w:lastColumn="0" w:noHBand="0" w:noVBand="1"/>
      </w:tblPr>
      <w:tblGrid>
        <w:gridCol w:w="1524"/>
        <w:gridCol w:w="1419"/>
        <w:gridCol w:w="1230"/>
        <w:gridCol w:w="1230"/>
        <w:gridCol w:w="1541"/>
      </w:tblGrid>
      <w:tr w:rsidR="00D46887" w:rsidRPr="005A3C94" w14:paraId="2120BF72" w14:textId="77777777" w:rsidTr="00D31D29">
        <w:trPr>
          <w:jc w:val="center"/>
        </w:trPr>
        <w:tc>
          <w:tcPr>
            <w:tcW w:w="1524" w:type="dxa"/>
          </w:tcPr>
          <w:p w14:paraId="1C7438BA" w14:textId="77777777" w:rsidR="00D46887" w:rsidRPr="005A3C94" w:rsidRDefault="00D46887" w:rsidP="008C67DC">
            <w:pPr>
              <w:spacing w:line="276" w:lineRule="auto"/>
              <w:jc w:val="both"/>
              <w:rPr>
                <w:rFonts w:cs="Times New Roman"/>
                <w:sz w:val="24"/>
                <w:szCs w:val="24"/>
              </w:rPr>
            </w:pPr>
          </w:p>
        </w:tc>
        <w:tc>
          <w:tcPr>
            <w:tcW w:w="1419" w:type="dxa"/>
          </w:tcPr>
          <w:p w14:paraId="31B0FFF4" w14:textId="77777777" w:rsidR="00D46887" w:rsidRPr="005A3C94" w:rsidRDefault="00D46887" w:rsidP="00C8279E">
            <w:pPr>
              <w:spacing w:line="276" w:lineRule="auto"/>
              <w:jc w:val="center"/>
              <w:rPr>
                <w:rFonts w:cs="Times New Roman"/>
                <w:sz w:val="24"/>
                <w:szCs w:val="24"/>
              </w:rPr>
            </w:pPr>
            <w:r w:rsidRPr="005A3C94">
              <w:rPr>
                <w:rFonts w:cs="Times New Roman"/>
                <w:sz w:val="24"/>
                <w:szCs w:val="24"/>
              </w:rPr>
              <w:t>Énkép</w:t>
            </w:r>
          </w:p>
        </w:tc>
        <w:tc>
          <w:tcPr>
            <w:tcW w:w="1230" w:type="dxa"/>
            <w:tcBorders>
              <w:right w:val="single" w:sz="18" w:space="0" w:color="auto"/>
            </w:tcBorders>
          </w:tcPr>
          <w:p w14:paraId="6E57F8F2" w14:textId="77777777" w:rsidR="00D46887" w:rsidRPr="005A3C94" w:rsidRDefault="00D46887" w:rsidP="00C8279E">
            <w:pPr>
              <w:spacing w:line="276" w:lineRule="auto"/>
              <w:jc w:val="center"/>
              <w:rPr>
                <w:rFonts w:cs="Times New Roman"/>
                <w:sz w:val="24"/>
                <w:szCs w:val="24"/>
              </w:rPr>
            </w:pPr>
            <w:r w:rsidRPr="005A3C94">
              <w:rPr>
                <w:rFonts w:cs="Times New Roman"/>
                <w:sz w:val="24"/>
                <w:szCs w:val="24"/>
              </w:rPr>
              <w:t>Szociális képesség</w:t>
            </w:r>
          </w:p>
        </w:tc>
        <w:tc>
          <w:tcPr>
            <w:tcW w:w="1230" w:type="dxa"/>
            <w:tcBorders>
              <w:top w:val="single" w:sz="18" w:space="0" w:color="auto"/>
              <w:left w:val="single" w:sz="18" w:space="0" w:color="auto"/>
              <w:right w:val="single" w:sz="18" w:space="0" w:color="auto"/>
            </w:tcBorders>
          </w:tcPr>
          <w:p w14:paraId="3FF65CCB" w14:textId="77777777" w:rsidR="00D46887" w:rsidRPr="005A3C94" w:rsidRDefault="00D46887" w:rsidP="00C8279E">
            <w:pPr>
              <w:spacing w:line="276" w:lineRule="auto"/>
              <w:jc w:val="center"/>
              <w:rPr>
                <w:rFonts w:cs="Times New Roman"/>
                <w:sz w:val="24"/>
                <w:szCs w:val="24"/>
              </w:rPr>
            </w:pPr>
            <w:r w:rsidRPr="005A3C94">
              <w:rPr>
                <w:rFonts w:cs="Times New Roman"/>
                <w:sz w:val="24"/>
                <w:szCs w:val="24"/>
              </w:rPr>
              <w:t>Empátia</w:t>
            </w:r>
          </w:p>
        </w:tc>
        <w:tc>
          <w:tcPr>
            <w:tcW w:w="1541" w:type="dxa"/>
            <w:tcBorders>
              <w:left w:val="single" w:sz="18" w:space="0" w:color="auto"/>
            </w:tcBorders>
          </w:tcPr>
          <w:p w14:paraId="69529B67" w14:textId="77777777" w:rsidR="00D46887" w:rsidRPr="005A3C94" w:rsidRDefault="00D46887" w:rsidP="00C8279E">
            <w:pPr>
              <w:spacing w:line="276" w:lineRule="auto"/>
              <w:jc w:val="center"/>
              <w:rPr>
                <w:rFonts w:cs="Times New Roman"/>
                <w:sz w:val="24"/>
                <w:szCs w:val="24"/>
              </w:rPr>
            </w:pPr>
            <w:r w:rsidRPr="005A3C94">
              <w:rPr>
                <w:rFonts w:cs="Times New Roman"/>
                <w:sz w:val="24"/>
                <w:szCs w:val="24"/>
              </w:rPr>
              <w:t>Tanulási motiváció</w:t>
            </w:r>
          </w:p>
        </w:tc>
      </w:tr>
      <w:tr w:rsidR="00D46887" w:rsidRPr="005A3C94" w14:paraId="22A49FFA" w14:textId="77777777" w:rsidTr="00D31D29">
        <w:trPr>
          <w:jc w:val="center"/>
        </w:trPr>
        <w:tc>
          <w:tcPr>
            <w:tcW w:w="1524" w:type="dxa"/>
          </w:tcPr>
          <w:p w14:paraId="005D4A04" w14:textId="77777777" w:rsidR="00D46887" w:rsidRPr="005A3C94" w:rsidRDefault="00D46887" w:rsidP="008C67DC">
            <w:pPr>
              <w:spacing w:line="276" w:lineRule="auto"/>
              <w:jc w:val="both"/>
              <w:rPr>
                <w:rFonts w:cs="Times New Roman"/>
                <w:sz w:val="24"/>
                <w:szCs w:val="24"/>
              </w:rPr>
            </w:pPr>
            <w:r w:rsidRPr="005A3C94">
              <w:rPr>
                <w:rFonts w:cs="Times New Roman"/>
                <w:sz w:val="24"/>
                <w:szCs w:val="24"/>
              </w:rPr>
              <w:t>0-1 tárgy</w:t>
            </w:r>
          </w:p>
        </w:tc>
        <w:tc>
          <w:tcPr>
            <w:tcW w:w="1419" w:type="dxa"/>
            <w:shd w:val="clear" w:color="auto" w:fill="E9ABAB"/>
          </w:tcPr>
          <w:p w14:paraId="15ED2784" w14:textId="1D802AF9" w:rsidR="00D46887" w:rsidRPr="005A3C94" w:rsidRDefault="00B464B2" w:rsidP="008C67DC">
            <w:pPr>
              <w:spacing w:line="276" w:lineRule="auto"/>
              <w:jc w:val="center"/>
              <w:rPr>
                <w:rFonts w:cs="Times New Roman"/>
                <w:sz w:val="24"/>
                <w:szCs w:val="24"/>
              </w:rPr>
            </w:pPr>
            <w:r w:rsidRPr="005A3C94">
              <w:rPr>
                <w:rFonts w:cs="Times New Roman"/>
                <w:sz w:val="24"/>
                <w:szCs w:val="24"/>
              </w:rPr>
              <w:t>-0,044</w:t>
            </w:r>
          </w:p>
        </w:tc>
        <w:tc>
          <w:tcPr>
            <w:tcW w:w="1230" w:type="dxa"/>
            <w:tcBorders>
              <w:right w:val="single" w:sz="18" w:space="0" w:color="auto"/>
            </w:tcBorders>
            <w:shd w:val="clear" w:color="auto" w:fill="E9ABAB"/>
          </w:tcPr>
          <w:p w14:paraId="46119EF0" w14:textId="5C11B674" w:rsidR="00D46887" w:rsidRPr="005A3C94" w:rsidRDefault="00B464B2" w:rsidP="008C67DC">
            <w:pPr>
              <w:spacing w:line="276" w:lineRule="auto"/>
              <w:jc w:val="center"/>
              <w:rPr>
                <w:rFonts w:cs="Times New Roman"/>
                <w:sz w:val="24"/>
                <w:szCs w:val="24"/>
              </w:rPr>
            </w:pPr>
            <w:r w:rsidRPr="005A3C94">
              <w:rPr>
                <w:rFonts w:cs="Times New Roman"/>
                <w:sz w:val="24"/>
                <w:szCs w:val="24"/>
              </w:rPr>
              <w:t>-0,142</w:t>
            </w:r>
          </w:p>
        </w:tc>
        <w:tc>
          <w:tcPr>
            <w:tcW w:w="1230" w:type="dxa"/>
            <w:tcBorders>
              <w:left w:val="single" w:sz="18" w:space="0" w:color="auto"/>
              <w:right w:val="single" w:sz="18" w:space="0" w:color="auto"/>
            </w:tcBorders>
          </w:tcPr>
          <w:p w14:paraId="2D0B36EF" w14:textId="19F93B10" w:rsidR="00D46887" w:rsidRPr="005A3C94" w:rsidRDefault="00B464B2" w:rsidP="008C67DC">
            <w:pPr>
              <w:spacing w:line="276" w:lineRule="auto"/>
              <w:jc w:val="center"/>
              <w:rPr>
                <w:rFonts w:cs="Times New Roman"/>
                <w:sz w:val="24"/>
                <w:szCs w:val="24"/>
              </w:rPr>
            </w:pPr>
            <w:r w:rsidRPr="005A3C94">
              <w:rPr>
                <w:rFonts w:cs="Times New Roman"/>
                <w:sz w:val="24"/>
                <w:szCs w:val="24"/>
              </w:rPr>
              <w:t>0,174</w:t>
            </w:r>
          </w:p>
        </w:tc>
        <w:tc>
          <w:tcPr>
            <w:tcW w:w="1541" w:type="dxa"/>
            <w:tcBorders>
              <w:left w:val="single" w:sz="18" w:space="0" w:color="auto"/>
            </w:tcBorders>
          </w:tcPr>
          <w:p w14:paraId="22474166" w14:textId="1B76634B" w:rsidR="00D46887" w:rsidRPr="005A3C94" w:rsidRDefault="00B464B2" w:rsidP="008C67DC">
            <w:pPr>
              <w:spacing w:line="276" w:lineRule="auto"/>
              <w:jc w:val="center"/>
              <w:rPr>
                <w:rFonts w:cs="Times New Roman"/>
                <w:sz w:val="24"/>
                <w:szCs w:val="24"/>
              </w:rPr>
            </w:pPr>
            <w:r w:rsidRPr="005A3C94">
              <w:rPr>
                <w:rFonts w:cs="Times New Roman"/>
                <w:sz w:val="24"/>
                <w:szCs w:val="24"/>
              </w:rPr>
              <w:t>0,200</w:t>
            </w:r>
          </w:p>
        </w:tc>
      </w:tr>
      <w:tr w:rsidR="00D46887" w:rsidRPr="005A3C94" w14:paraId="474513CF" w14:textId="77777777" w:rsidTr="00D31D29">
        <w:trPr>
          <w:jc w:val="center"/>
        </w:trPr>
        <w:tc>
          <w:tcPr>
            <w:tcW w:w="1524" w:type="dxa"/>
          </w:tcPr>
          <w:p w14:paraId="2099FCF5" w14:textId="77777777" w:rsidR="00D46887" w:rsidRPr="005A3C94" w:rsidRDefault="00D46887" w:rsidP="008C67DC">
            <w:pPr>
              <w:spacing w:line="276" w:lineRule="auto"/>
              <w:jc w:val="both"/>
              <w:rPr>
                <w:rFonts w:cs="Times New Roman"/>
                <w:sz w:val="24"/>
                <w:szCs w:val="24"/>
              </w:rPr>
            </w:pPr>
            <w:r w:rsidRPr="005A3C94">
              <w:rPr>
                <w:rFonts w:cs="Times New Roman"/>
                <w:sz w:val="24"/>
                <w:szCs w:val="24"/>
              </w:rPr>
              <w:t>2-3 tárgy</w:t>
            </w:r>
          </w:p>
        </w:tc>
        <w:tc>
          <w:tcPr>
            <w:tcW w:w="1419" w:type="dxa"/>
            <w:shd w:val="clear" w:color="auto" w:fill="E9ABAB"/>
          </w:tcPr>
          <w:p w14:paraId="4E8A1340" w14:textId="56C45C03" w:rsidR="00D46887" w:rsidRPr="005A3C94" w:rsidRDefault="00B464B2" w:rsidP="008C67DC">
            <w:pPr>
              <w:spacing w:line="276" w:lineRule="auto"/>
              <w:jc w:val="center"/>
              <w:rPr>
                <w:rFonts w:cs="Times New Roman"/>
                <w:sz w:val="24"/>
                <w:szCs w:val="24"/>
              </w:rPr>
            </w:pPr>
            <w:r w:rsidRPr="005A3C94">
              <w:rPr>
                <w:rFonts w:cs="Times New Roman"/>
                <w:sz w:val="24"/>
                <w:szCs w:val="24"/>
              </w:rPr>
              <w:t>-0,038</w:t>
            </w:r>
          </w:p>
        </w:tc>
        <w:tc>
          <w:tcPr>
            <w:tcW w:w="1230" w:type="dxa"/>
            <w:tcBorders>
              <w:right w:val="single" w:sz="18" w:space="0" w:color="auto"/>
            </w:tcBorders>
            <w:shd w:val="clear" w:color="auto" w:fill="E9ABAB"/>
          </w:tcPr>
          <w:p w14:paraId="22116CB2" w14:textId="274AF2C5" w:rsidR="00D46887" w:rsidRPr="005A3C94" w:rsidRDefault="00B464B2" w:rsidP="008C67DC">
            <w:pPr>
              <w:spacing w:line="276" w:lineRule="auto"/>
              <w:jc w:val="center"/>
              <w:rPr>
                <w:rFonts w:cs="Times New Roman"/>
                <w:sz w:val="24"/>
                <w:szCs w:val="24"/>
              </w:rPr>
            </w:pPr>
            <w:r w:rsidRPr="005A3C94">
              <w:rPr>
                <w:rFonts w:cs="Times New Roman"/>
                <w:sz w:val="24"/>
                <w:szCs w:val="24"/>
              </w:rPr>
              <w:t>-0,034</w:t>
            </w:r>
          </w:p>
        </w:tc>
        <w:tc>
          <w:tcPr>
            <w:tcW w:w="1230" w:type="dxa"/>
            <w:tcBorders>
              <w:left w:val="single" w:sz="18" w:space="0" w:color="auto"/>
              <w:right w:val="single" w:sz="18" w:space="0" w:color="auto"/>
            </w:tcBorders>
          </w:tcPr>
          <w:p w14:paraId="1183B877" w14:textId="7BEF9C8F" w:rsidR="00D46887" w:rsidRPr="005A3C94" w:rsidRDefault="00B464B2" w:rsidP="008C67DC">
            <w:pPr>
              <w:spacing w:line="276" w:lineRule="auto"/>
              <w:jc w:val="center"/>
              <w:rPr>
                <w:rFonts w:cs="Times New Roman"/>
                <w:sz w:val="24"/>
                <w:szCs w:val="24"/>
              </w:rPr>
            </w:pPr>
            <w:r w:rsidRPr="005A3C94">
              <w:rPr>
                <w:rFonts w:cs="Times New Roman"/>
                <w:sz w:val="24"/>
                <w:szCs w:val="24"/>
              </w:rPr>
              <w:t>0,043</w:t>
            </w:r>
          </w:p>
        </w:tc>
        <w:tc>
          <w:tcPr>
            <w:tcW w:w="1541" w:type="dxa"/>
            <w:tcBorders>
              <w:left w:val="single" w:sz="18" w:space="0" w:color="auto"/>
            </w:tcBorders>
            <w:shd w:val="clear" w:color="auto" w:fill="E9ABAB"/>
          </w:tcPr>
          <w:p w14:paraId="054871DE" w14:textId="2BEB6AD1" w:rsidR="00D46887" w:rsidRPr="005A3C94" w:rsidRDefault="00B464B2" w:rsidP="008C67DC">
            <w:pPr>
              <w:spacing w:line="276" w:lineRule="auto"/>
              <w:jc w:val="center"/>
              <w:rPr>
                <w:rFonts w:cs="Times New Roman"/>
                <w:sz w:val="24"/>
                <w:szCs w:val="24"/>
              </w:rPr>
            </w:pPr>
            <w:r w:rsidRPr="005A3C94">
              <w:rPr>
                <w:rFonts w:cs="Times New Roman"/>
                <w:sz w:val="24"/>
                <w:szCs w:val="24"/>
              </w:rPr>
              <w:t>-0,104</w:t>
            </w:r>
          </w:p>
        </w:tc>
      </w:tr>
      <w:tr w:rsidR="00D46887" w:rsidRPr="005A3C94" w14:paraId="1B3DA6A6" w14:textId="77777777" w:rsidTr="00D31D29">
        <w:trPr>
          <w:jc w:val="center"/>
        </w:trPr>
        <w:tc>
          <w:tcPr>
            <w:tcW w:w="1524" w:type="dxa"/>
          </w:tcPr>
          <w:p w14:paraId="4015D4F3" w14:textId="77777777" w:rsidR="00D46887" w:rsidRPr="005A3C94" w:rsidRDefault="00D46887" w:rsidP="008C67DC">
            <w:pPr>
              <w:spacing w:line="276" w:lineRule="auto"/>
              <w:jc w:val="both"/>
              <w:rPr>
                <w:rFonts w:cs="Times New Roman"/>
                <w:sz w:val="24"/>
                <w:szCs w:val="24"/>
              </w:rPr>
            </w:pPr>
            <w:r w:rsidRPr="005A3C94">
              <w:rPr>
                <w:rFonts w:cs="Times New Roman"/>
                <w:sz w:val="24"/>
                <w:szCs w:val="24"/>
              </w:rPr>
              <w:t>4-5 tárgy</w:t>
            </w:r>
          </w:p>
        </w:tc>
        <w:tc>
          <w:tcPr>
            <w:tcW w:w="1419" w:type="dxa"/>
          </w:tcPr>
          <w:p w14:paraId="20974592" w14:textId="67512E24" w:rsidR="00D46887" w:rsidRPr="005A3C94" w:rsidRDefault="00B464B2" w:rsidP="008C67DC">
            <w:pPr>
              <w:spacing w:line="276" w:lineRule="auto"/>
              <w:jc w:val="center"/>
              <w:rPr>
                <w:rFonts w:cs="Times New Roman"/>
                <w:sz w:val="24"/>
                <w:szCs w:val="24"/>
              </w:rPr>
            </w:pPr>
            <w:r w:rsidRPr="005A3C94">
              <w:rPr>
                <w:rFonts w:cs="Times New Roman"/>
                <w:sz w:val="24"/>
                <w:szCs w:val="24"/>
              </w:rPr>
              <w:t>0,092</w:t>
            </w:r>
          </w:p>
        </w:tc>
        <w:tc>
          <w:tcPr>
            <w:tcW w:w="1230" w:type="dxa"/>
            <w:tcBorders>
              <w:right w:val="single" w:sz="18" w:space="0" w:color="auto"/>
            </w:tcBorders>
          </w:tcPr>
          <w:p w14:paraId="6654BCF7" w14:textId="08C87534" w:rsidR="00D46887" w:rsidRPr="005A3C94" w:rsidRDefault="00B464B2" w:rsidP="008C67DC">
            <w:pPr>
              <w:spacing w:line="276" w:lineRule="auto"/>
              <w:jc w:val="center"/>
              <w:rPr>
                <w:rFonts w:cs="Times New Roman"/>
                <w:sz w:val="24"/>
                <w:szCs w:val="24"/>
              </w:rPr>
            </w:pPr>
            <w:r w:rsidRPr="005A3C94">
              <w:rPr>
                <w:rFonts w:cs="Times New Roman"/>
                <w:sz w:val="24"/>
                <w:szCs w:val="24"/>
              </w:rPr>
              <w:t>0,124</w:t>
            </w:r>
          </w:p>
        </w:tc>
        <w:tc>
          <w:tcPr>
            <w:tcW w:w="1230" w:type="dxa"/>
            <w:tcBorders>
              <w:left w:val="single" w:sz="18" w:space="0" w:color="auto"/>
              <w:bottom w:val="single" w:sz="18" w:space="0" w:color="auto"/>
              <w:right w:val="single" w:sz="18" w:space="0" w:color="auto"/>
            </w:tcBorders>
            <w:shd w:val="clear" w:color="auto" w:fill="E9ABAB"/>
          </w:tcPr>
          <w:p w14:paraId="5BE24225" w14:textId="2DA06CD1" w:rsidR="00D46887" w:rsidRPr="005A3C94" w:rsidRDefault="00B464B2" w:rsidP="008C67DC">
            <w:pPr>
              <w:spacing w:line="276" w:lineRule="auto"/>
              <w:jc w:val="center"/>
              <w:rPr>
                <w:rFonts w:cs="Times New Roman"/>
                <w:sz w:val="24"/>
                <w:szCs w:val="24"/>
              </w:rPr>
            </w:pPr>
            <w:r w:rsidRPr="005A3C94">
              <w:rPr>
                <w:rFonts w:cs="Times New Roman"/>
                <w:sz w:val="24"/>
                <w:szCs w:val="24"/>
              </w:rPr>
              <w:t>-0,</w:t>
            </w:r>
            <w:r w:rsidRPr="005A3C94">
              <w:rPr>
                <w:rFonts w:cs="Times New Roman"/>
                <w:sz w:val="24"/>
                <w:szCs w:val="24"/>
                <w:shd w:val="clear" w:color="auto" w:fill="E9ABAB"/>
              </w:rPr>
              <w:t>155</w:t>
            </w:r>
          </w:p>
        </w:tc>
        <w:tc>
          <w:tcPr>
            <w:tcW w:w="1541" w:type="dxa"/>
            <w:tcBorders>
              <w:left w:val="single" w:sz="18" w:space="0" w:color="auto"/>
            </w:tcBorders>
          </w:tcPr>
          <w:p w14:paraId="12106D4C" w14:textId="5FAA577A" w:rsidR="00D46887" w:rsidRPr="005A3C94" w:rsidRDefault="00B464B2" w:rsidP="008C67DC">
            <w:pPr>
              <w:spacing w:line="276" w:lineRule="auto"/>
              <w:jc w:val="center"/>
              <w:rPr>
                <w:rFonts w:cs="Times New Roman"/>
                <w:sz w:val="24"/>
                <w:szCs w:val="24"/>
              </w:rPr>
            </w:pPr>
            <w:r w:rsidRPr="005A3C94">
              <w:rPr>
                <w:rFonts w:cs="Times New Roman"/>
                <w:sz w:val="24"/>
                <w:szCs w:val="24"/>
              </w:rPr>
              <w:t>0,119</w:t>
            </w:r>
          </w:p>
        </w:tc>
      </w:tr>
    </w:tbl>
    <w:p w14:paraId="3E9F4CE6" w14:textId="77777777" w:rsidR="00AB5999" w:rsidRPr="005A3C94" w:rsidRDefault="00AB5999" w:rsidP="008C67DC">
      <w:pPr>
        <w:spacing w:line="276" w:lineRule="auto"/>
        <w:ind w:left="360"/>
        <w:jc w:val="both"/>
        <w:rPr>
          <w:rFonts w:ascii="Times New Roman" w:hAnsi="Times New Roman" w:cs="Times New Roman"/>
          <w:sz w:val="24"/>
          <w:szCs w:val="24"/>
        </w:rPr>
      </w:pPr>
    </w:p>
    <w:p w14:paraId="09D40662" w14:textId="20641222" w:rsidR="005C5B3E" w:rsidRPr="005A3C94" w:rsidRDefault="00DF1D13" w:rsidP="005C5B3E">
      <w:pPr>
        <w:pStyle w:val="Kpalrs"/>
        <w:keepNext/>
      </w:pPr>
      <w:r>
        <w:fldChar w:fldCharType="begin"/>
      </w:r>
      <w:r>
        <w:instrText xml:space="preserve"> SEQ táblázat \* ARABIC </w:instrText>
      </w:r>
      <w:r>
        <w:fldChar w:fldCharType="separate"/>
      </w:r>
      <w:r w:rsidR="00DC5809">
        <w:rPr>
          <w:noProof/>
        </w:rPr>
        <w:t>7</w:t>
      </w:r>
      <w:r>
        <w:rPr>
          <w:noProof/>
        </w:rPr>
        <w:fldChar w:fldCharType="end"/>
      </w:r>
      <w:r w:rsidR="005C5B3E" w:rsidRPr="005A3C94">
        <w:t xml:space="preserve">. táblázat: </w:t>
      </w:r>
      <w:r w:rsidR="00786D8F" w:rsidRPr="005A3C94">
        <w:t>A</w:t>
      </w:r>
      <w:r w:rsidR="005C5B3E" w:rsidRPr="005A3C94">
        <w:t xml:space="preserve"> </w:t>
      </w:r>
      <w:r w:rsidR="003B7DE8" w:rsidRPr="005A3C94">
        <w:rPr>
          <w:u w:val="single"/>
        </w:rPr>
        <w:t xml:space="preserve">személyes </w:t>
      </w:r>
      <w:r w:rsidR="005C5B3E" w:rsidRPr="005A3C94">
        <w:rPr>
          <w:u w:val="single"/>
        </w:rPr>
        <w:t>ellátottság</w:t>
      </w:r>
      <w:r w:rsidR="005C5B3E" w:rsidRPr="005A3C94">
        <w:t xml:space="preserve"> szerinti átlagos pozitív standardizált eloszlása a </w:t>
      </w:r>
      <w:proofErr w:type="spellStart"/>
      <w:r w:rsidR="005C5B3E" w:rsidRPr="005A3C94">
        <w:t>T-Tudok</w:t>
      </w:r>
      <w:proofErr w:type="spellEnd"/>
      <w:r w:rsidR="005C5B3E" w:rsidRPr="005A3C94">
        <w:t xml:space="preserve"> 2014-es mérésén</w:t>
      </w:r>
    </w:p>
    <w:tbl>
      <w:tblPr>
        <w:tblW w:w="6934" w:type="dxa"/>
        <w:jc w:val="center"/>
        <w:tblCellMar>
          <w:left w:w="70" w:type="dxa"/>
          <w:right w:w="70" w:type="dxa"/>
        </w:tblCellMar>
        <w:tblLook w:val="04A0" w:firstRow="1" w:lastRow="0" w:firstColumn="1" w:lastColumn="0" w:noHBand="0" w:noVBand="1"/>
      </w:tblPr>
      <w:tblGrid>
        <w:gridCol w:w="1625"/>
        <w:gridCol w:w="1417"/>
        <w:gridCol w:w="1134"/>
        <w:gridCol w:w="1276"/>
        <w:gridCol w:w="1482"/>
      </w:tblGrid>
      <w:tr w:rsidR="00AC53A0" w:rsidRPr="005A3C94" w14:paraId="0AB61D72" w14:textId="77777777" w:rsidTr="00AC53A0">
        <w:trPr>
          <w:trHeight w:val="412"/>
          <w:jc w:val="center"/>
        </w:trPr>
        <w:tc>
          <w:tcPr>
            <w:tcW w:w="16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A89667" w14:textId="77777777" w:rsidR="00AC53A0" w:rsidRPr="005A3C94" w:rsidRDefault="00AC53A0" w:rsidP="00AC53A0">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249ED6EB" w14:textId="77777777" w:rsidR="00AC53A0" w:rsidRPr="005A3C94" w:rsidRDefault="00AC53A0" w:rsidP="00AC53A0">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Énkép</w:t>
            </w:r>
          </w:p>
        </w:tc>
        <w:tc>
          <w:tcPr>
            <w:tcW w:w="1134" w:type="dxa"/>
            <w:tcBorders>
              <w:top w:val="single" w:sz="8" w:space="0" w:color="auto"/>
              <w:left w:val="nil"/>
              <w:bottom w:val="single" w:sz="8" w:space="0" w:color="auto"/>
              <w:right w:val="single" w:sz="12" w:space="0" w:color="auto"/>
            </w:tcBorders>
            <w:shd w:val="clear" w:color="auto" w:fill="auto"/>
            <w:vAlign w:val="center"/>
            <w:hideMark/>
          </w:tcPr>
          <w:p w14:paraId="7CA7C59E" w14:textId="77777777" w:rsidR="00AC53A0" w:rsidRPr="005A3C94" w:rsidRDefault="00AC53A0" w:rsidP="00AC53A0">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Szociális képesség</w:t>
            </w:r>
          </w:p>
        </w:tc>
        <w:tc>
          <w:tcPr>
            <w:tcW w:w="1276" w:type="dxa"/>
            <w:tcBorders>
              <w:top w:val="single" w:sz="4" w:space="0" w:color="auto"/>
              <w:left w:val="nil"/>
              <w:bottom w:val="single" w:sz="8" w:space="0" w:color="auto"/>
              <w:right w:val="single" w:sz="12" w:space="0" w:color="auto"/>
            </w:tcBorders>
            <w:shd w:val="clear" w:color="auto" w:fill="auto"/>
            <w:vAlign w:val="center"/>
            <w:hideMark/>
          </w:tcPr>
          <w:p w14:paraId="4B552CD8" w14:textId="77777777" w:rsidR="00AC53A0" w:rsidRPr="005A3C94" w:rsidRDefault="00AC53A0" w:rsidP="00AC53A0">
            <w:pPr>
              <w:spacing w:after="0" w:line="276" w:lineRule="auto"/>
              <w:jc w:val="center"/>
              <w:rPr>
                <w:rFonts w:cs="Times New Roman"/>
                <w:sz w:val="24"/>
                <w:szCs w:val="24"/>
              </w:rPr>
            </w:pPr>
            <w:r w:rsidRPr="005A3C94">
              <w:rPr>
                <w:rFonts w:cs="Times New Roman"/>
                <w:sz w:val="24"/>
                <w:szCs w:val="24"/>
              </w:rPr>
              <w:t>Empátia</w:t>
            </w:r>
          </w:p>
        </w:tc>
        <w:tc>
          <w:tcPr>
            <w:tcW w:w="1482" w:type="dxa"/>
            <w:tcBorders>
              <w:top w:val="single" w:sz="8" w:space="0" w:color="auto"/>
              <w:left w:val="nil"/>
              <w:bottom w:val="single" w:sz="8" w:space="0" w:color="auto"/>
              <w:right w:val="single" w:sz="8" w:space="0" w:color="auto"/>
            </w:tcBorders>
            <w:shd w:val="clear" w:color="auto" w:fill="auto"/>
            <w:vAlign w:val="center"/>
            <w:hideMark/>
          </w:tcPr>
          <w:p w14:paraId="1DA62A6B" w14:textId="77777777" w:rsidR="00AC53A0" w:rsidRPr="005A3C94" w:rsidRDefault="00AC53A0" w:rsidP="00AC53A0">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Tanulási motiváció</w:t>
            </w:r>
          </w:p>
        </w:tc>
      </w:tr>
      <w:tr w:rsidR="00AC53A0" w:rsidRPr="005A3C94" w14:paraId="2D21AF0A" w14:textId="77777777" w:rsidTr="00AC53A0">
        <w:trPr>
          <w:trHeight w:val="232"/>
          <w:jc w:val="center"/>
        </w:trPr>
        <w:tc>
          <w:tcPr>
            <w:tcW w:w="1625" w:type="dxa"/>
            <w:tcBorders>
              <w:top w:val="nil"/>
              <w:left w:val="single" w:sz="8" w:space="0" w:color="auto"/>
              <w:bottom w:val="single" w:sz="8" w:space="0" w:color="auto"/>
              <w:right w:val="single" w:sz="8" w:space="0" w:color="auto"/>
            </w:tcBorders>
            <w:shd w:val="clear" w:color="auto" w:fill="auto"/>
            <w:vAlign w:val="center"/>
            <w:hideMark/>
          </w:tcPr>
          <w:p w14:paraId="07945856" w14:textId="77777777" w:rsidR="00AC53A0" w:rsidRPr="005A3C94" w:rsidRDefault="00AC53A0" w:rsidP="00AC53A0">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 tárgy</w:t>
            </w:r>
          </w:p>
        </w:tc>
        <w:tc>
          <w:tcPr>
            <w:tcW w:w="1417" w:type="dxa"/>
            <w:tcBorders>
              <w:top w:val="nil"/>
              <w:left w:val="nil"/>
              <w:bottom w:val="single" w:sz="8" w:space="0" w:color="auto"/>
              <w:right w:val="single" w:sz="8" w:space="0" w:color="auto"/>
            </w:tcBorders>
            <w:shd w:val="clear" w:color="000000" w:fill="E9ABAB"/>
            <w:vAlign w:val="center"/>
            <w:hideMark/>
          </w:tcPr>
          <w:p w14:paraId="610D9E60" w14:textId="77777777" w:rsidR="00AC53A0" w:rsidRPr="005A3C94" w:rsidRDefault="00AC53A0" w:rsidP="00AC53A0">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-0,231</w:t>
            </w:r>
          </w:p>
        </w:tc>
        <w:tc>
          <w:tcPr>
            <w:tcW w:w="1134" w:type="dxa"/>
            <w:tcBorders>
              <w:top w:val="nil"/>
              <w:left w:val="nil"/>
              <w:bottom w:val="single" w:sz="8" w:space="0" w:color="auto"/>
              <w:right w:val="single" w:sz="12" w:space="0" w:color="auto"/>
            </w:tcBorders>
            <w:shd w:val="clear" w:color="000000" w:fill="E9ABAB"/>
            <w:vAlign w:val="center"/>
            <w:hideMark/>
          </w:tcPr>
          <w:p w14:paraId="6281BF7C" w14:textId="77777777" w:rsidR="00AC53A0" w:rsidRPr="005A3C94" w:rsidRDefault="00AC53A0" w:rsidP="00AC53A0">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-0,514</w:t>
            </w:r>
          </w:p>
        </w:tc>
        <w:tc>
          <w:tcPr>
            <w:tcW w:w="1276" w:type="dxa"/>
            <w:tcBorders>
              <w:top w:val="nil"/>
              <w:left w:val="nil"/>
              <w:bottom w:val="single" w:sz="8" w:space="0" w:color="auto"/>
              <w:right w:val="single" w:sz="12" w:space="0" w:color="auto"/>
            </w:tcBorders>
            <w:shd w:val="clear" w:color="auto" w:fill="auto"/>
            <w:vAlign w:val="center"/>
            <w:hideMark/>
          </w:tcPr>
          <w:p w14:paraId="269BE67E" w14:textId="77777777" w:rsidR="00AC53A0" w:rsidRPr="005A3C94" w:rsidRDefault="00AC53A0" w:rsidP="00AC53A0">
            <w:pPr>
              <w:spacing w:after="0" w:line="276" w:lineRule="auto"/>
              <w:jc w:val="center"/>
              <w:rPr>
                <w:rFonts w:cs="Times New Roman"/>
                <w:sz w:val="24"/>
                <w:szCs w:val="24"/>
              </w:rPr>
            </w:pPr>
            <w:r w:rsidRPr="005A3C94">
              <w:rPr>
                <w:rFonts w:cs="Times New Roman"/>
                <w:sz w:val="24"/>
                <w:szCs w:val="24"/>
              </w:rPr>
              <w:t>0,216</w:t>
            </w:r>
          </w:p>
        </w:tc>
        <w:tc>
          <w:tcPr>
            <w:tcW w:w="1482" w:type="dxa"/>
            <w:tcBorders>
              <w:top w:val="nil"/>
              <w:left w:val="nil"/>
              <w:bottom w:val="single" w:sz="8" w:space="0" w:color="auto"/>
              <w:right w:val="single" w:sz="8" w:space="0" w:color="auto"/>
            </w:tcBorders>
            <w:shd w:val="clear" w:color="000000" w:fill="E9ABAB"/>
            <w:vAlign w:val="center"/>
            <w:hideMark/>
          </w:tcPr>
          <w:p w14:paraId="45E63F92" w14:textId="77777777" w:rsidR="00AC53A0" w:rsidRPr="005A3C94" w:rsidRDefault="00AC53A0" w:rsidP="00AC53A0">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-0,002</w:t>
            </w:r>
          </w:p>
        </w:tc>
      </w:tr>
      <w:tr w:rsidR="00AC53A0" w:rsidRPr="005A3C94" w14:paraId="72ECFB7C" w14:textId="77777777" w:rsidTr="00AC53A0">
        <w:trPr>
          <w:trHeight w:val="336"/>
          <w:jc w:val="center"/>
        </w:trPr>
        <w:tc>
          <w:tcPr>
            <w:tcW w:w="1625" w:type="dxa"/>
            <w:tcBorders>
              <w:top w:val="nil"/>
              <w:left w:val="single" w:sz="8" w:space="0" w:color="auto"/>
              <w:bottom w:val="single" w:sz="8" w:space="0" w:color="auto"/>
              <w:right w:val="single" w:sz="8" w:space="0" w:color="auto"/>
            </w:tcBorders>
            <w:shd w:val="clear" w:color="auto" w:fill="auto"/>
            <w:vAlign w:val="center"/>
            <w:hideMark/>
          </w:tcPr>
          <w:p w14:paraId="0044D4CC" w14:textId="77777777" w:rsidR="00AC53A0" w:rsidRPr="005A3C94" w:rsidRDefault="00AC53A0" w:rsidP="00AC53A0">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2-3 tárgy</w:t>
            </w:r>
          </w:p>
        </w:tc>
        <w:tc>
          <w:tcPr>
            <w:tcW w:w="1417" w:type="dxa"/>
            <w:tcBorders>
              <w:top w:val="nil"/>
              <w:left w:val="nil"/>
              <w:bottom w:val="single" w:sz="8" w:space="0" w:color="auto"/>
              <w:right w:val="single" w:sz="8" w:space="0" w:color="auto"/>
            </w:tcBorders>
            <w:shd w:val="clear" w:color="000000" w:fill="E9ABAB"/>
            <w:vAlign w:val="center"/>
            <w:hideMark/>
          </w:tcPr>
          <w:p w14:paraId="6BA4587E" w14:textId="77777777" w:rsidR="00AC53A0" w:rsidRPr="005A3C94" w:rsidRDefault="00AC53A0" w:rsidP="00AC53A0">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-0,004</w:t>
            </w:r>
          </w:p>
        </w:tc>
        <w:tc>
          <w:tcPr>
            <w:tcW w:w="1134" w:type="dxa"/>
            <w:tcBorders>
              <w:top w:val="nil"/>
              <w:left w:val="nil"/>
              <w:bottom w:val="single" w:sz="8" w:space="0" w:color="auto"/>
              <w:right w:val="single" w:sz="12" w:space="0" w:color="auto"/>
            </w:tcBorders>
            <w:shd w:val="clear" w:color="000000" w:fill="FFFFFF"/>
            <w:vAlign w:val="center"/>
            <w:hideMark/>
          </w:tcPr>
          <w:p w14:paraId="1AE3D76F" w14:textId="77777777" w:rsidR="00AC53A0" w:rsidRPr="005A3C94" w:rsidRDefault="00AC53A0" w:rsidP="00AC53A0">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0,022</w:t>
            </w:r>
          </w:p>
        </w:tc>
        <w:tc>
          <w:tcPr>
            <w:tcW w:w="1276" w:type="dxa"/>
            <w:tcBorders>
              <w:top w:val="nil"/>
              <w:left w:val="nil"/>
              <w:bottom w:val="single" w:sz="8" w:space="0" w:color="auto"/>
              <w:right w:val="single" w:sz="12" w:space="0" w:color="auto"/>
            </w:tcBorders>
            <w:shd w:val="clear" w:color="auto" w:fill="auto"/>
            <w:vAlign w:val="center"/>
            <w:hideMark/>
          </w:tcPr>
          <w:p w14:paraId="31CC705A" w14:textId="77777777" w:rsidR="00AC53A0" w:rsidRPr="005A3C94" w:rsidRDefault="00AC53A0" w:rsidP="00AC53A0">
            <w:pPr>
              <w:spacing w:after="0" w:line="276" w:lineRule="auto"/>
              <w:jc w:val="center"/>
              <w:rPr>
                <w:rFonts w:cs="Times New Roman"/>
                <w:sz w:val="24"/>
                <w:szCs w:val="24"/>
              </w:rPr>
            </w:pPr>
            <w:r w:rsidRPr="005A3C94">
              <w:rPr>
                <w:rFonts w:cs="Times New Roman"/>
                <w:sz w:val="24"/>
                <w:szCs w:val="24"/>
              </w:rPr>
              <w:t>0,042</w:t>
            </w:r>
          </w:p>
        </w:tc>
        <w:tc>
          <w:tcPr>
            <w:tcW w:w="1482" w:type="dxa"/>
            <w:tcBorders>
              <w:top w:val="nil"/>
              <w:left w:val="nil"/>
              <w:bottom w:val="single" w:sz="8" w:space="0" w:color="auto"/>
              <w:right w:val="single" w:sz="8" w:space="0" w:color="auto"/>
            </w:tcBorders>
            <w:shd w:val="clear" w:color="000000" w:fill="E9ABAB"/>
            <w:vAlign w:val="center"/>
            <w:hideMark/>
          </w:tcPr>
          <w:p w14:paraId="0AFEFAED" w14:textId="77777777" w:rsidR="00AC53A0" w:rsidRPr="005A3C94" w:rsidRDefault="00AC53A0" w:rsidP="00AC53A0">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-0,014</w:t>
            </w:r>
          </w:p>
        </w:tc>
      </w:tr>
      <w:tr w:rsidR="00AC53A0" w:rsidRPr="005A3C94" w14:paraId="4423F94D" w14:textId="77777777" w:rsidTr="00AC53A0">
        <w:trPr>
          <w:trHeight w:val="284"/>
          <w:jc w:val="center"/>
        </w:trPr>
        <w:tc>
          <w:tcPr>
            <w:tcW w:w="1625" w:type="dxa"/>
            <w:tcBorders>
              <w:top w:val="nil"/>
              <w:left w:val="single" w:sz="8" w:space="0" w:color="auto"/>
              <w:bottom w:val="single" w:sz="8" w:space="0" w:color="auto"/>
              <w:right w:val="single" w:sz="8" w:space="0" w:color="auto"/>
            </w:tcBorders>
            <w:shd w:val="clear" w:color="auto" w:fill="auto"/>
            <w:vAlign w:val="center"/>
            <w:hideMark/>
          </w:tcPr>
          <w:p w14:paraId="0878B664" w14:textId="77777777" w:rsidR="00AC53A0" w:rsidRPr="005A3C94" w:rsidRDefault="00AC53A0" w:rsidP="00AC53A0">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4-5 tárgy</w:t>
            </w:r>
          </w:p>
        </w:tc>
        <w:tc>
          <w:tcPr>
            <w:tcW w:w="1417" w:type="dxa"/>
            <w:tcBorders>
              <w:top w:val="nil"/>
              <w:left w:val="nil"/>
              <w:bottom w:val="single" w:sz="8" w:space="0" w:color="auto"/>
              <w:right w:val="single" w:sz="8" w:space="0" w:color="auto"/>
            </w:tcBorders>
            <w:shd w:val="clear" w:color="auto" w:fill="auto"/>
            <w:vAlign w:val="center"/>
            <w:hideMark/>
          </w:tcPr>
          <w:p w14:paraId="19F9D500" w14:textId="77777777" w:rsidR="00AC53A0" w:rsidRPr="005A3C94" w:rsidRDefault="00AC53A0" w:rsidP="00AC53A0">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0,074</w:t>
            </w:r>
          </w:p>
        </w:tc>
        <w:tc>
          <w:tcPr>
            <w:tcW w:w="1134" w:type="dxa"/>
            <w:tcBorders>
              <w:top w:val="nil"/>
              <w:left w:val="nil"/>
              <w:bottom w:val="single" w:sz="8" w:space="0" w:color="auto"/>
              <w:right w:val="single" w:sz="12" w:space="0" w:color="auto"/>
            </w:tcBorders>
            <w:shd w:val="clear" w:color="auto" w:fill="auto"/>
            <w:vAlign w:val="center"/>
            <w:hideMark/>
          </w:tcPr>
          <w:p w14:paraId="206D1D18" w14:textId="77777777" w:rsidR="00AC53A0" w:rsidRPr="005A3C94" w:rsidRDefault="00AC53A0" w:rsidP="00AC53A0">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0,134</w:t>
            </w:r>
          </w:p>
        </w:tc>
        <w:tc>
          <w:tcPr>
            <w:tcW w:w="1276" w:type="dxa"/>
            <w:tcBorders>
              <w:top w:val="nil"/>
              <w:left w:val="nil"/>
              <w:bottom w:val="single" w:sz="12" w:space="0" w:color="auto"/>
              <w:right w:val="single" w:sz="12" w:space="0" w:color="auto"/>
            </w:tcBorders>
            <w:shd w:val="clear" w:color="000000" w:fill="E9ABAB"/>
            <w:vAlign w:val="center"/>
            <w:hideMark/>
          </w:tcPr>
          <w:p w14:paraId="1501EF1F" w14:textId="77777777" w:rsidR="00AC53A0" w:rsidRPr="005A3C94" w:rsidRDefault="00AC53A0" w:rsidP="00AC53A0">
            <w:pPr>
              <w:spacing w:after="0" w:line="276" w:lineRule="auto"/>
              <w:jc w:val="center"/>
              <w:rPr>
                <w:rFonts w:cs="Times New Roman"/>
                <w:sz w:val="24"/>
                <w:szCs w:val="24"/>
              </w:rPr>
            </w:pPr>
            <w:r w:rsidRPr="005A3C94">
              <w:rPr>
                <w:rFonts w:cs="Times New Roman"/>
                <w:sz w:val="24"/>
                <w:szCs w:val="24"/>
              </w:rPr>
              <w:t>-0,103</w:t>
            </w:r>
          </w:p>
        </w:tc>
        <w:tc>
          <w:tcPr>
            <w:tcW w:w="1482" w:type="dxa"/>
            <w:tcBorders>
              <w:top w:val="nil"/>
              <w:left w:val="nil"/>
              <w:bottom w:val="single" w:sz="8" w:space="0" w:color="auto"/>
              <w:right w:val="single" w:sz="8" w:space="0" w:color="auto"/>
            </w:tcBorders>
            <w:shd w:val="clear" w:color="000000" w:fill="FFFFFF"/>
            <w:vAlign w:val="center"/>
            <w:hideMark/>
          </w:tcPr>
          <w:p w14:paraId="063F4418" w14:textId="77777777" w:rsidR="00AC53A0" w:rsidRPr="005A3C94" w:rsidRDefault="00AC53A0" w:rsidP="00AC53A0">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0,013</w:t>
            </w:r>
          </w:p>
        </w:tc>
      </w:tr>
    </w:tbl>
    <w:p w14:paraId="4C410AFB" w14:textId="3382816D" w:rsidR="00C8279E" w:rsidRPr="005A3C94" w:rsidRDefault="00AC53A0" w:rsidP="00AC53A0">
      <w:pPr>
        <w:spacing w:before="240"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Ezen a </w:t>
      </w:r>
      <w:r w:rsidR="00AE742D" w:rsidRPr="005A3C94">
        <w:rPr>
          <w:rFonts w:ascii="Times New Roman" w:hAnsi="Times New Roman" w:cs="Times New Roman"/>
          <w:sz w:val="24"/>
          <w:szCs w:val="24"/>
        </w:rPr>
        <w:t xml:space="preserve">mérésen világosabbak a </w:t>
      </w:r>
      <w:r w:rsidR="003C0C71" w:rsidRPr="005A3C94">
        <w:rPr>
          <w:rFonts w:ascii="Times New Roman" w:hAnsi="Times New Roman" w:cs="Times New Roman"/>
          <w:sz w:val="24"/>
          <w:szCs w:val="24"/>
        </w:rPr>
        <w:t>folyamatok</w:t>
      </w:r>
      <w:r w:rsidR="00AE742D" w:rsidRPr="005A3C94">
        <w:rPr>
          <w:rFonts w:ascii="Times New Roman" w:hAnsi="Times New Roman" w:cs="Times New Roman"/>
          <w:sz w:val="24"/>
          <w:szCs w:val="24"/>
        </w:rPr>
        <w:t xml:space="preserve">, mint a 2015-ös hatásvizsgálaton. Minél jobb egy család anyagi helyzete, annál magasabb az átlagos standardizált pozitív válaszok eloszlása az énkép, a szociális képesség és a tanulási motiváció esetén. Lényeges különbség, hogy az empátiás képesség viszont egyre romlik a vagyoni helyzet javulásával. </w:t>
      </w:r>
    </w:p>
    <w:p w14:paraId="1D60AEEA" w14:textId="7439FF15" w:rsidR="003B7DE8" w:rsidRPr="005A3C94" w:rsidRDefault="00C8279E" w:rsidP="003B7DE8">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Eredményeinket összevetettük az Oktatáskutató és Fejlesztő Intézet </w:t>
      </w:r>
      <w:r w:rsidR="00786D8F" w:rsidRPr="005A3C94">
        <w:rPr>
          <w:rFonts w:ascii="Times New Roman" w:hAnsi="Times New Roman" w:cs="Times New Roman"/>
          <w:sz w:val="24"/>
          <w:szCs w:val="24"/>
        </w:rPr>
        <w:t xml:space="preserve">2014-es, </w:t>
      </w:r>
      <w:r w:rsidRPr="005A3C94">
        <w:rPr>
          <w:rFonts w:ascii="Times New Roman" w:hAnsi="Times New Roman" w:cs="Times New Roman"/>
          <w:sz w:val="24"/>
          <w:szCs w:val="24"/>
        </w:rPr>
        <w:t xml:space="preserve">az egész napos iskolák nevelési-oktatási program fejlesztéseihez kapcsolódó hatásvizsgálatának </w:t>
      </w:r>
      <w:proofErr w:type="spellStart"/>
      <w:r w:rsidRPr="005A3C94">
        <w:rPr>
          <w:rFonts w:ascii="Times New Roman" w:hAnsi="Times New Roman" w:cs="Times New Roman"/>
          <w:sz w:val="24"/>
          <w:szCs w:val="24"/>
        </w:rPr>
        <w:t>ereményeivel</w:t>
      </w:r>
      <w:proofErr w:type="spellEnd"/>
      <w:r w:rsidRPr="005A3C94">
        <w:rPr>
          <w:rFonts w:ascii="Times New Roman" w:hAnsi="Times New Roman" w:cs="Times New Roman"/>
          <w:sz w:val="24"/>
          <w:szCs w:val="24"/>
        </w:rPr>
        <w:t xml:space="preserve"> is.</w:t>
      </w:r>
      <w:r w:rsidR="00AC53A0" w:rsidRPr="005A3C94">
        <w:rPr>
          <w:rFonts w:ascii="Times New Roman" w:hAnsi="Times New Roman" w:cs="Times New Roman"/>
          <w:sz w:val="24"/>
          <w:szCs w:val="24"/>
        </w:rPr>
        <w:t xml:space="preserve"> </w:t>
      </w:r>
      <w:r w:rsidR="00080962" w:rsidRPr="005A3C94">
        <w:rPr>
          <w:rFonts w:ascii="Times New Roman" w:hAnsi="Times New Roman" w:cs="Times New Roman"/>
          <w:sz w:val="24"/>
          <w:szCs w:val="24"/>
        </w:rPr>
        <w:t xml:space="preserve">Az alábbi táblázatokban láthatjuk </w:t>
      </w:r>
      <w:r w:rsidR="003B7DE8" w:rsidRPr="005A3C94">
        <w:rPr>
          <w:rFonts w:ascii="Times New Roman" w:hAnsi="Times New Roman" w:cs="Times New Roman"/>
          <w:sz w:val="24"/>
          <w:szCs w:val="24"/>
        </w:rPr>
        <w:t xml:space="preserve">az OFI egész napos </w:t>
      </w:r>
      <w:proofErr w:type="spellStart"/>
      <w:r w:rsidR="003B7DE8" w:rsidRPr="005A3C94">
        <w:rPr>
          <w:rFonts w:ascii="Times New Roman" w:hAnsi="Times New Roman" w:cs="Times New Roman"/>
          <w:sz w:val="24"/>
          <w:szCs w:val="24"/>
        </w:rPr>
        <w:t>iskloka</w:t>
      </w:r>
      <w:proofErr w:type="spellEnd"/>
      <w:r w:rsidR="003B7DE8" w:rsidRPr="005A3C94">
        <w:rPr>
          <w:rFonts w:ascii="Times New Roman" w:hAnsi="Times New Roman" w:cs="Times New Roman"/>
          <w:sz w:val="24"/>
          <w:szCs w:val="24"/>
        </w:rPr>
        <w:t xml:space="preserve"> projekttel kapcsolatban </w:t>
      </w:r>
      <w:r w:rsidR="00080962" w:rsidRPr="005A3C94">
        <w:rPr>
          <w:rFonts w:ascii="Times New Roman" w:hAnsi="Times New Roman" w:cs="Times New Roman"/>
          <w:sz w:val="24"/>
          <w:szCs w:val="24"/>
        </w:rPr>
        <w:t xml:space="preserve">készített mérésének eredményeit, </w:t>
      </w:r>
      <w:r w:rsidR="003B7DE8" w:rsidRPr="005A3C94">
        <w:rPr>
          <w:rFonts w:ascii="Times New Roman" w:hAnsi="Times New Roman" w:cs="Times New Roman"/>
          <w:sz w:val="24"/>
          <w:szCs w:val="24"/>
        </w:rPr>
        <w:t>jövedelmi kategóriák szerint bontva csoportokra a diákokat.</w:t>
      </w:r>
    </w:p>
    <w:p w14:paraId="11B747FD" w14:textId="44566461" w:rsidR="00F4610D" w:rsidRPr="005A3C94" w:rsidRDefault="00DF1D13" w:rsidP="00F4610D">
      <w:pPr>
        <w:pStyle w:val="Kpalrs"/>
        <w:keepNext/>
      </w:pPr>
      <w:r>
        <w:fldChar w:fldCharType="begin"/>
      </w:r>
      <w:r>
        <w:instrText xml:space="preserve"> SEQ táblázat \* ARABIC </w:instrText>
      </w:r>
      <w:r>
        <w:fldChar w:fldCharType="separate"/>
      </w:r>
      <w:r w:rsidR="00DC5809">
        <w:rPr>
          <w:noProof/>
        </w:rPr>
        <w:t>8</w:t>
      </w:r>
      <w:r>
        <w:rPr>
          <w:noProof/>
        </w:rPr>
        <w:fldChar w:fldCharType="end"/>
      </w:r>
      <w:r w:rsidR="00F4610D" w:rsidRPr="005A3C94">
        <w:t xml:space="preserve">. táblázat: A </w:t>
      </w:r>
      <w:r w:rsidR="00F4610D" w:rsidRPr="005A3C94">
        <w:rPr>
          <w:u w:val="single"/>
        </w:rPr>
        <w:t>családi ellátottság</w:t>
      </w:r>
      <w:r w:rsidR="00F4610D" w:rsidRPr="005A3C94">
        <w:t xml:space="preserve"> szerinti átlagos pozitív válaszok száma az OFI </w:t>
      </w:r>
      <w:r w:rsidR="00786D8F" w:rsidRPr="005A3C94">
        <w:t xml:space="preserve">2014-es </w:t>
      </w:r>
      <w:r w:rsidR="00F4610D" w:rsidRPr="005A3C94">
        <w:t>mérésen</w:t>
      </w:r>
    </w:p>
    <w:tbl>
      <w:tblPr>
        <w:tblW w:w="6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9"/>
        <w:gridCol w:w="1266"/>
        <w:gridCol w:w="1035"/>
        <w:gridCol w:w="1120"/>
        <w:gridCol w:w="1627"/>
      </w:tblGrid>
      <w:tr w:rsidR="00786D8F" w:rsidRPr="005A3C94" w14:paraId="54378AD8" w14:textId="77777777" w:rsidTr="00786D8F">
        <w:trPr>
          <w:trHeight w:val="579"/>
          <w:jc w:val="center"/>
        </w:trPr>
        <w:tc>
          <w:tcPr>
            <w:tcW w:w="1609" w:type="dxa"/>
            <w:shd w:val="clear" w:color="auto" w:fill="auto"/>
            <w:vAlign w:val="center"/>
            <w:hideMark/>
          </w:tcPr>
          <w:p w14:paraId="1B2DBED0" w14:textId="77777777" w:rsidR="00786D8F" w:rsidRPr="005A3C94" w:rsidRDefault="00786D8F" w:rsidP="00786D8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 </w:t>
            </w:r>
          </w:p>
        </w:tc>
        <w:tc>
          <w:tcPr>
            <w:tcW w:w="1266" w:type="dxa"/>
            <w:shd w:val="clear" w:color="auto" w:fill="auto"/>
            <w:vAlign w:val="center"/>
            <w:hideMark/>
          </w:tcPr>
          <w:p w14:paraId="44FDE3FD"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Énkép</w:t>
            </w:r>
          </w:p>
        </w:tc>
        <w:tc>
          <w:tcPr>
            <w:tcW w:w="1035" w:type="dxa"/>
            <w:shd w:val="clear" w:color="auto" w:fill="auto"/>
            <w:vAlign w:val="center"/>
            <w:hideMark/>
          </w:tcPr>
          <w:p w14:paraId="5B20441D"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Szociális képesség</w:t>
            </w:r>
          </w:p>
        </w:tc>
        <w:tc>
          <w:tcPr>
            <w:tcW w:w="1120" w:type="dxa"/>
            <w:shd w:val="clear" w:color="auto" w:fill="auto"/>
            <w:vAlign w:val="center"/>
            <w:hideMark/>
          </w:tcPr>
          <w:p w14:paraId="7FE1F941"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Empátia</w:t>
            </w:r>
          </w:p>
        </w:tc>
        <w:tc>
          <w:tcPr>
            <w:tcW w:w="1627" w:type="dxa"/>
            <w:shd w:val="clear" w:color="auto" w:fill="auto"/>
            <w:vAlign w:val="center"/>
            <w:hideMark/>
          </w:tcPr>
          <w:p w14:paraId="1B2421F6"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Tanulási motiváció</w:t>
            </w:r>
          </w:p>
        </w:tc>
      </w:tr>
      <w:tr w:rsidR="00786D8F" w:rsidRPr="005A3C94" w14:paraId="21C5AC5E" w14:textId="77777777" w:rsidTr="00786D8F">
        <w:trPr>
          <w:trHeight w:val="390"/>
          <w:jc w:val="center"/>
        </w:trPr>
        <w:tc>
          <w:tcPr>
            <w:tcW w:w="1609" w:type="dxa"/>
            <w:shd w:val="clear" w:color="auto" w:fill="auto"/>
            <w:vAlign w:val="center"/>
            <w:hideMark/>
          </w:tcPr>
          <w:p w14:paraId="71D66E50" w14:textId="77777777" w:rsidR="00786D8F" w:rsidRPr="005A3C94" w:rsidRDefault="00786D8F" w:rsidP="00786D8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 tárgy</w:t>
            </w:r>
          </w:p>
        </w:tc>
        <w:tc>
          <w:tcPr>
            <w:tcW w:w="1266" w:type="dxa"/>
            <w:shd w:val="clear" w:color="auto" w:fill="auto"/>
            <w:vAlign w:val="center"/>
            <w:hideMark/>
          </w:tcPr>
          <w:p w14:paraId="4A52D7D7"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-0,324</w:t>
            </w:r>
          </w:p>
        </w:tc>
        <w:tc>
          <w:tcPr>
            <w:tcW w:w="1035" w:type="dxa"/>
            <w:shd w:val="clear" w:color="auto" w:fill="auto"/>
            <w:vAlign w:val="center"/>
            <w:hideMark/>
          </w:tcPr>
          <w:p w14:paraId="672F38C8"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0,094</w:t>
            </w:r>
          </w:p>
        </w:tc>
        <w:tc>
          <w:tcPr>
            <w:tcW w:w="1120" w:type="dxa"/>
            <w:shd w:val="clear" w:color="auto" w:fill="auto"/>
            <w:vAlign w:val="center"/>
            <w:hideMark/>
          </w:tcPr>
          <w:p w14:paraId="19A23D28"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0,133</w:t>
            </w:r>
          </w:p>
        </w:tc>
        <w:tc>
          <w:tcPr>
            <w:tcW w:w="1627" w:type="dxa"/>
            <w:shd w:val="clear" w:color="auto" w:fill="auto"/>
            <w:vAlign w:val="center"/>
            <w:hideMark/>
          </w:tcPr>
          <w:p w14:paraId="0010DB9C"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-0,028</w:t>
            </w:r>
          </w:p>
        </w:tc>
      </w:tr>
      <w:tr w:rsidR="00786D8F" w:rsidRPr="005A3C94" w14:paraId="70BE471C" w14:textId="77777777" w:rsidTr="00786D8F">
        <w:trPr>
          <w:trHeight w:val="410"/>
          <w:jc w:val="center"/>
        </w:trPr>
        <w:tc>
          <w:tcPr>
            <w:tcW w:w="1609" w:type="dxa"/>
            <w:shd w:val="clear" w:color="auto" w:fill="auto"/>
            <w:vAlign w:val="center"/>
            <w:hideMark/>
          </w:tcPr>
          <w:p w14:paraId="37724A92" w14:textId="77777777" w:rsidR="00786D8F" w:rsidRPr="005A3C94" w:rsidRDefault="00786D8F" w:rsidP="00786D8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2-5 tárgy</w:t>
            </w:r>
          </w:p>
        </w:tc>
        <w:tc>
          <w:tcPr>
            <w:tcW w:w="1266" w:type="dxa"/>
            <w:shd w:val="clear" w:color="000000" w:fill="C5E0B3"/>
            <w:vAlign w:val="center"/>
            <w:hideMark/>
          </w:tcPr>
          <w:p w14:paraId="36A3A1E6"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0,396</w:t>
            </w:r>
          </w:p>
        </w:tc>
        <w:tc>
          <w:tcPr>
            <w:tcW w:w="1035" w:type="dxa"/>
            <w:shd w:val="clear" w:color="000000" w:fill="E9ABAB"/>
            <w:vAlign w:val="center"/>
            <w:hideMark/>
          </w:tcPr>
          <w:p w14:paraId="3E86CCBF"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-0,115</w:t>
            </w:r>
          </w:p>
        </w:tc>
        <w:tc>
          <w:tcPr>
            <w:tcW w:w="1120" w:type="dxa"/>
            <w:shd w:val="clear" w:color="000000" w:fill="E9ABAB"/>
            <w:vAlign w:val="center"/>
            <w:hideMark/>
          </w:tcPr>
          <w:p w14:paraId="54698D35"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-0,162</w:t>
            </w:r>
          </w:p>
        </w:tc>
        <w:tc>
          <w:tcPr>
            <w:tcW w:w="1627" w:type="dxa"/>
            <w:shd w:val="clear" w:color="000000" w:fill="C5E0B3"/>
            <w:vAlign w:val="center"/>
            <w:hideMark/>
          </w:tcPr>
          <w:p w14:paraId="705B1194"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0,035</w:t>
            </w:r>
          </w:p>
        </w:tc>
      </w:tr>
    </w:tbl>
    <w:p w14:paraId="0D9E796A" w14:textId="77777777" w:rsidR="003B7DE8" w:rsidRPr="005A3C94" w:rsidRDefault="003B7DE8" w:rsidP="003B7DE8">
      <w:pPr>
        <w:pStyle w:val="Kpalrs"/>
        <w:keepNext/>
      </w:pPr>
    </w:p>
    <w:p w14:paraId="488C45DD" w14:textId="4155B009" w:rsidR="003B7DE8" w:rsidRPr="005A3C94" w:rsidRDefault="00DF1D13" w:rsidP="003B7DE8">
      <w:pPr>
        <w:pStyle w:val="Kpalrs"/>
        <w:keepNext/>
      </w:pPr>
      <w:r>
        <w:fldChar w:fldCharType="begin"/>
      </w:r>
      <w:r>
        <w:instrText xml:space="preserve"> SEQ táblázat \* ARABIC </w:instrText>
      </w:r>
      <w:r>
        <w:fldChar w:fldCharType="separate"/>
      </w:r>
      <w:r w:rsidR="00DC5809">
        <w:rPr>
          <w:noProof/>
        </w:rPr>
        <w:t>9</w:t>
      </w:r>
      <w:r>
        <w:rPr>
          <w:noProof/>
        </w:rPr>
        <w:fldChar w:fldCharType="end"/>
      </w:r>
      <w:r w:rsidR="003B7DE8" w:rsidRPr="005A3C94">
        <w:t xml:space="preserve">. táblázat: A </w:t>
      </w:r>
      <w:r w:rsidR="003B7DE8" w:rsidRPr="005A3C94">
        <w:rPr>
          <w:u w:val="single"/>
        </w:rPr>
        <w:t>személyi ellátottság</w:t>
      </w:r>
      <w:r w:rsidR="003B7DE8" w:rsidRPr="005A3C94">
        <w:t xml:space="preserve"> szerinti átlagos pozitív válaszok száma az OFI </w:t>
      </w:r>
      <w:r w:rsidR="00786D8F" w:rsidRPr="005A3C94">
        <w:t>2014-es</w:t>
      </w:r>
      <w:r w:rsidR="003B7DE8" w:rsidRPr="005A3C94">
        <w:t>mérésén</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0"/>
        <w:gridCol w:w="1266"/>
        <w:gridCol w:w="1035"/>
        <w:gridCol w:w="1120"/>
        <w:gridCol w:w="1629"/>
      </w:tblGrid>
      <w:tr w:rsidR="00786D8F" w:rsidRPr="005A3C94" w14:paraId="3D8C79B8" w14:textId="77777777" w:rsidTr="00786D8F">
        <w:trPr>
          <w:trHeight w:val="441"/>
          <w:jc w:val="center"/>
        </w:trPr>
        <w:tc>
          <w:tcPr>
            <w:tcW w:w="1610" w:type="dxa"/>
            <w:shd w:val="clear" w:color="auto" w:fill="auto"/>
            <w:vAlign w:val="center"/>
            <w:hideMark/>
          </w:tcPr>
          <w:p w14:paraId="19D7EE14"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 </w:t>
            </w:r>
          </w:p>
        </w:tc>
        <w:tc>
          <w:tcPr>
            <w:tcW w:w="1266" w:type="dxa"/>
            <w:shd w:val="clear" w:color="auto" w:fill="auto"/>
            <w:vAlign w:val="center"/>
            <w:hideMark/>
          </w:tcPr>
          <w:p w14:paraId="0BD529F2"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Énkép</w:t>
            </w:r>
          </w:p>
        </w:tc>
        <w:tc>
          <w:tcPr>
            <w:tcW w:w="1035" w:type="dxa"/>
            <w:shd w:val="clear" w:color="auto" w:fill="auto"/>
            <w:vAlign w:val="center"/>
            <w:hideMark/>
          </w:tcPr>
          <w:p w14:paraId="0BB6D0A1"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Szociális képesség</w:t>
            </w:r>
          </w:p>
        </w:tc>
        <w:tc>
          <w:tcPr>
            <w:tcW w:w="1120" w:type="dxa"/>
            <w:shd w:val="clear" w:color="auto" w:fill="auto"/>
            <w:vAlign w:val="center"/>
            <w:hideMark/>
          </w:tcPr>
          <w:p w14:paraId="7F6E6E4D"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Empátia</w:t>
            </w:r>
          </w:p>
        </w:tc>
        <w:tc>
          <w:tcPr>
            <w:tcW w:w="1629" w:type="dxa"/>
            <w:shd w:val="clear" w:color="auto" w:fill="auto"/>
            <w:vAlign w:val="center"/>
            <w:hideMark/>
          </w:tcPr>
          <w:p w14:paraId="4A8A7A8E"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Tanulási motiváció</w:t>
            </w:r>
          </w:p>
        </w:tc>
      </w:tr>
      <w:tr w:rsidR="00786D8F" w:rsidRPr="005A3C94" w14:paraId="02C2EB05" w14:textId="77777777" w:rsidTr="00786D8F">
        <w:trPr>
          <w:trHeight w:val="394"/>
          <w:jc w:val="center"/>
        </w:trPr>
        <w:tc>
          <w:tcPr>
            <w:tcW w:w="1610" w:type="dxa"/>
            <w:shd w:val="clear" w:color="auto" w:fill="auto"/>
            <w:vAlign w:val="center"/>
            <w:hideMark/>
          </w:tcPr>
          <w:p w14:paraId="51266368"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 tárgy</w:t>
            </w:r>
          </w:p>
        </w:tc>
        <w:tc>
          <w:tcPr>
            <w:tcW w:w="1266" w:type="dxa"/>
            <w:shd w:val="clear" w:color="auto" w:fill="auto"/>
            <w:vAlign w:val="center"/>
            <w:hideMark/>
          </w:tcPr>
          <w:p w14:paraId="48C06545"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-0,299</w:t>
            </w:r>
          </w:p>
        </w:tc>
        <w:tc>
          <w:tcPr>
            <w:tcW w:w="1035" w:type="dxa"/>
            <w:shd w:val="clear" w:color="auto" w:fill="auto"/>
            <w:vAlign w:val="center"/>
            <w:hideMark/>
          </w:tcPr>
          <w:p w14:paraId="17F9F5C4"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0,063</w:t>
            </w:r>
          </w:p>
        </w:tc>
        <w:tc>
          <w:tcPr>
            <w:tcW w:w="1120" w:type="dxa"/>
            <w:shd w:val="clear" w:color="auto" w:fill="auto"/>
            <w:vAlign w:val="center"/>
            <w:hideMark/>
          </w:tcPr>
          <w:p w14:paraId="6B5610AE"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0,118</w:t>
            </w:r>
          </w:p>
        </w:tc>
        <w:tc>
          <w:tcPr>
            <w:tcW w:w="1629" w:type="dxa"/>
            <w:shd w:val="clear" w:color="auto" w:fill="auto"/>
            <w:vAlign w:val="center"/>
            <w:hideMark/>
          </w:tcPr>
          <w:p w14:paraId="5FCAD10E"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-0,055</w:t>
            </w:r>
          </w:p>
        </w:tc>
      </w:tr>
      <w:tr w:rsidR="00786D8F" w:rsidRPr="005A3C94" w14:paraId="1BABC9C4" w14:textId="77777777" w:rsidTr="00786D8F">
        <w:trPr>
          <w:trHeight w:val="402"/>
          <w:jc w:val="center"/>
        </w:trPr>
        <w:tc>
          <w:tcPr>
            <w:tcW w:w="1610" w:type="dxa"/>
            <w:shd w:val="clear" w:color="auto" w:fill="auto"/>
            <w:vAlign w:val="center"/>
            <w:hideMark/>
          </w:tcPr>
          <w:p w14:paraId="0ABEC5A2"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2-3 tárgy</w:t>
            </w:r>
          </w:p>
        </w:tc>
        <w:tc>
          <w:tcPr>
            <w:tcW w:w="1266" w:type="dxa"/>
            <w:shd w:val="clear" w:color="000000" w:fill="C5E0B3"/>
            <w:vAlign w:val="center"/>
            <w:hideMark/>
          </w:tcPr>
          <w:p w14:paraId="53B08EC7"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0,419</w:t>
            </w:r>
          </w:p>
        </w:tc>
        <w:tc>
          <w:tcPr>
            <w:tcW w:w="1035" w:type="dxa"/>
            <w:shd w:val="clear" w:color="000000" w:fill="E9ABAB"/>
            <w:vAlign w:val="center"/>
            <w:hideMark/>
          </w:tcPr>
          <w:p w14:paraId="3762383C"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-0,089</w:t>
            </w:r>
          </w:p>
        </w:tc>
        <w:tc>
          <w:tcPr>
            <w:tcW w:w="1120" w:type="dxa"/>
            <w:shd w:val="clear" w:color="000000" w:fill="E9ABAB"/>
            <w:vAlign w:val="center"/>
            <w:hideMark/>
          </w:tcPr>
          <w:p w14:paraId="4E141915"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-0,166</w:t>
            </w:r>
          </w:p>
        </w:tc>
        <w:tc>
          <w:tcPr>
            <w:tcW w:w="1629" w:type="dxa"/>
            <w:shd w:val="clear" w:color="000000" w:fill="C5E0B3"/>
            <w:vAlign w:val="center"/>
            <w:hideMark/>
          </w:tcPr>
          <w:p w14:paraId="741318D0" w14:textId="77777777" w:rsidR="00786D8F" w:rsidRPr="005A3C94" w:rsidRDefault="00786D8F" w:rsidP="00786D8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0,077</w:t>
            </w:r>
          </w:p>
        </w:tc>
      </w:tr>
    </w:tbl>
    <w:p w14:paraId="76C5641C" w14:textId="77777777" w:rsidR="003B7DE8" w:rsidRPr="005A3C94" w:rsidRDefault="003B7DE8" w:rsidP="003B7DE8">
      <w:pPr>
        <w:spacing w:line="276" w:lineRule="auto"/>
        <w:jc w:val="center"/>
        <w:rPr>
          <w:rFonts w:cs="Times New Roman"/>
          <w:sz w:val="24"/>
          <w:szCs w:val="24"/>
        </w:rPr>
      </w:pPr>
    </w:p>
    <w:p w14:paraId="524B3B91" w14:textId="2794B0D2" w:rsidR="00786D8F" w:rsidRPr="005A3C94" w:rsidRDefault="00786D8F" w:rsidP="00786D8F">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 fenti két táblázatban visszaköszönnek korábbi eredményeink. Minél </w:t>
      </w:r>
      <w:proofErr w:type="spellStart"/>
      <w:r w:rsidRPr="005A3C94">
        <w:rPr>
          <w:rFonts w:ascii="Times New Roman" w:hAnsi="Times New Roman" w:cs="Times New Roman"/>
          <w:sz w:val="24"/>
          <w:szCs w:val="24"/>
        </w:rPr>
        <w:t>jobbmódú</w:t>
      </w:r>
      <w:proofErr w:type="spellEnd"/>
      <w:r w:rsidRPr="005A3C94">
        <w:rPr>
          <w:rFonts w:ascii="Times New Roman" w:hAnsi="Times New Roman" w:cs="Times New Roman"/>
          <w:sz w:val="24"/>
          <w:szCs w:val="24"/>
        </w:rPr>
        <w:t xml:space="preserve"> környezetből származik egy diák, annál pozitívabb az énképe, és annál erősebb a tanulási motivációja. Az OFI mérése szerint azonban a </w:t>
      </w:r>
      <w:proofErr w:type="spellStart"/>
      <w:r w:rsidRPr="005A3C94">
        <w:rPr>
          <w:rFonts w:ascii="Times New Roman" w:hAnsi="Times New Roman" w:cs="Times New Roman"/>
          <w:sz w:val="24"/>
          <w:szCs w:val="24"/>
        </w:rPr>
        <w:t>jobbmódú</w:t>
      </w:r>
      <w:proofErr w:type="spellEnd"/>
      <w:r w:rsidRPr="005A3C94">
        <w:rPr>
          <w:rFonts w:ascii="Times New Roman" w:hAnsi="Times New Roman" w:cs="Times New Roman"/>
          <w:sz w:val="24"/>
          <w:szCs w:val="24"/>
        </w:rPr>
        <w:t xml:space="preserve"> diákoknak nem csak az empátia szintje </w:t>
      </w:r>
      <w:proofErr w:type="spellStart"/>
      <w:r w:rsidRPr="005A3C94">
        <w:rPr>
          <w:rFonts w:ascii="Times New Roman" w:hAnsi="Times New Roman" w:cs="Times New Roman"/>
          <w:sz w:val="24"/>
          <w:szCs w:val="24"/>
        </w:rPr>
        <w:t>alacsonyabbm</w:t>
      </w:r>
      <w:proofErr w:type="spellEnd"/>
      <w:r w:rsidRPr="005A3C94">
        <w:rPr>
          <w:rFonts w:ascii="Times New Roman" w:hAnsi="Times New Roman" w:cs="Times New Roman"/>
          <w:sz w:val="24"/>
          <w:szCs w:val="24"/>
        </w:rPr>
        <w:t xml:space="preserve"> de szociális képességeik is gyengébbek.</w:t>
      </w:r>
    </w:p>
    <w:p w14:paraId="70C94471" w14:textId="77777777" w:rsidR="00080962" w:rsidRPr="005A3C94" w:rsidRDefault="00080962">
      <w:pPr>
        <w:rPr>
          <w:rFonts w:asciiTheme="majorHAnsi" w:eastAsiaTheme="majorEastAsia" w:hAnsiTheme="majorHAnsi" w:cstheme="majorBidi"/>
          <w:color w:val="2E74B5" w:themeColor="accent1" w:themeShade="BF"/>
          <w:sz w:val="26"/>
          <w:szCs w:val="26"/>
        </w:rPr>
      </w:pPr>
      <w:bookmarkStart w:id="18" w:name="_Toc437242828"/>
      <w:r w:rsidRPr="005A3C94">
        <w:br w:type="page"/>
      </w:r>
    </w:p>
    <w:p w14:paraId="27BF14FB" w14:textId="60E5F3DD" w:rsidR="000854EB" w:rsidRPr="005A3C94" w:rsidRDefault="00CA0EA0" w:rsidP="008F7079">
      <w:pPr>
        <w:pStyle w:val="Cmsor3"/>
        <w:spacing w:line="360" w:lineRule="auto"/>
      </w:pPr>
      <w:r w:rsidRPr="005A3C94">
        <w:t>Olvasási képességek</w:t>
      </w:r>
      <w:bookmarkEnd w:id="18"/>
    </w:p>
    <w:p w14:paraId="2CFFE50B" w14:textId="5068D58A" w:rsidR="00575019" w:rsidRPr="005A3C94" w:rsidRDefault="00E623F7" w:rsidP="008F7079">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Az Oktatási Hivatal által</w:t>
      </w:r>
      <w:r w:rsidR="00732D5B" w:rsidRPr="005A3C94">
        <w:rPr>
          <w:rFonts w:ascii="Times New Roman" w:hAnsi="Times New Roman" w:cs="Times New Roman"/>
          <w:sz w:val="24"/>
          <w:szCs w:val="24"/>
        </w:rPr>
        <w:t xml:space="preserve"> használt definíció szerint </w:t>
      </w:r>
      <w:r w:rsidR="00575019" w:rsidRPr="005A3C94">
        <w:rPr>
          <w:rFonts w:ascii="Times New Roman" w:hAnsi="Times New Roman" w:cs="Times New Roman"/>
          <w:sz w:val="24"/>
          <w:szCs w:val="24"/>
        </w:rPr>
        <w:t>„</w:t>
      </w:r>
      <w:r w:rsidR="00575019" w:rsidRPr="005A3C94">
        <w:rPr>
          <w:rFonts w:ascii="Times New Roman" w:hAnsi="Times New Roman" w:cs="Times New Roman"/>
          <w:i/>
          <w:sz w:val="24"/>
          <w:szCs w:val="24"/>
        </w:rPr>
        <w:t>A jól működő szövegértő olvasás kritikus előfeltétele az optimálisan működő olvasáskészség, valamint a leggyakoribb 5000 szó jelentésének ismerete, mivel a köznyelvi írott szövegek szövegszavainak 96 százaléka ezekből variálódik.</w:t>
      </w:r>
      <w:r w:rsidRPr="005A3C94">
        <w:rPr>
          <w:rFonts w:ascii="Times New Roman" w:hAnsi="Times New Roman" w:cs="Times New Roman"/>
          <w:i/>
          <w:sz w:val="24"/>
          <w:szCs w:val="24"/>
        </w:rPr>
        <w:t>”</w:t>
      </w:r>
      <w:r w:rsidR="00575019" w:rsidRPr="005A3C94">
        <w:rPr>
          <w:rFonts w:ascii="Times New Roman" w:hAnsi="Times New Roman" w:cs="Times New Roman"/>
          <w:sz w:val="24"/>
          <w:szCs w:val="24"/>
        </w:rPr>
        <w:t xml:space="preserve"> Az alábbi táblázat ennek az alapszókészletnek az aktuális kiépülé</w:t>
      </w:r>
      <w:r w:rsidRPr="005A3C94">
        <w:rPr>
          <w:rFonts w:ascii="Times New Roman" w:hAnsi="Times New Roman" w:cs="Times New Roman"/>
          <w:sz w:val="24"/>
          <w:szCs w:val="24"/>
        </w:rPr>
        <w:t>si szintjét (ismeretét) mutatja a negyedikesek körében, 2012-es eredmények alapján.</w:t>
      </w:r>
      <w:r w:rsidRPr="005A3C94">
        <w:rPr>
          <w:rStyle w:val="Lbjegyzet-hivatkozs"/>
          <w:rFonts w:ascii="Times New Roman" w:hAnsi="Times New Roman" w:cs="Times New Roman"/>
          <w:sz w:val="24"/>
          <w:szCs w:val="24"/>
        </w:rPr>
        <w:footnoteReference w:id="9"/>
      </w:r>
      <w:r w:rsidRPr="005A3C94">
        <w:rPr>
          <w:rStyle w:val="Lbjegyzet-hivatkozs"/>
          <w:rFonts w:ascii="Times New Roman" w:hAnsi="Times New Roman" w:cs="Times New Roman"/>
          <w:sz w:val="24"/>
          <w:szCs w:val="24"/>
        </w:rPr>
        <w:footnoteReference w:id="10"/>
      </w:r>
    </w:p>
    <w:p w14:paraId="56B5336E" w14:textId="04F25035" w:rsidR="00732D5B" w:rsidRPr="005A3C94" w:rsidRDefault="00DF1D13" w:rsidP="00732D5B">
      <w:pPr>
        <w:pStyle w:val="Kpalrs"/>
        <w:keepNext/>
      </w:pPr>
      <w:r>
        <w:fldChar w:fldCharType="begin"/>
      </w:r>
      <w:r>
        <w:instrText xml:space="preserve"> SEQ táblázat \* ARABIC </w:instrText>
      </w:r>
      <w:r>
        <w:fldChar w:fldCharType="separate"/>
      </w:r>
      <w:r w:rsidR="00DC5809">
        <w:rPr>
          <w:noProof/>
        </w:rPr>
        <w:t>10</w:t>
      </w:r>
      <w:r>
        <w:rPr>
          <w:noProof/>
        </w:rPr>
        <w:fldChar w:fldCharType="end"/>
      </w:r>
      <w:r w:rsidR="00732D5B" w:rsidRPr="005A3C94">
        <w:t>. táblázat: Az olvasási kiépültség megoszlása</w:t>
      </w:r>
    </w:p>
    <w:tbl>
      <w:tblPr>
        <w:tblStyle w:val="Rcsostblzat"/>
        <w:tblW w:w="0" w:type="auto"/>
        <w:tblLook w:val="04A0" w:firstRow="1" w:lastRow="0" w:firstColumn="1" w:lastColumn="0" w:noHBand="0" w:noVBand="1"/>
      </w:tblPr>
      <w:tblGrid>
        <w:gridCol w:w="1721"/>
        <w:gridCol w:w="1166"/>
        <w:gridCol w:w="1275"/>
        <w:gridCol w:w="1188"/>
        <w:gridCol w:w="1207"/>
        <w:gridCol w:w="1242"/>
        <w:gridCol w:w="1263"/>
      </w:tblGrid>
      <w:tr w:rsidR="0000404D" w:rsidRPr="005A3C94" w14:paraId="6E4E743A" w14:textId="77777777" w:rsidTr="00732D5B">
        <w:tc>
          <w:tcPr>
            <w:tcW w:w="1723" w:type="dxa"/>
            <w:vMerge w:val="restart"/>
            <w:vAlign w:val="center"/>
          </w:tcPr>
          <w:p w14:paraId="2F4FF58F" w14:textId="77777777" w:rsidR="007C32FD" w:rsidRPr="005A3C94" w:rsidRDefault="00FB5367" w:rsidP="00732D5B">
            <w:pPr>
              <w:spacing w:line="276" w:lineRule="auto"/>
              <w:jc w:val="center"/>
              <w:rPr>
                <w:rFonts w:cs="Times New Roman"/>
                <w:sz w:val="24"/>
                <w:szCs w:val="24"/>
              </w:rPr>
            </w:pPr>
            <w:r w:rsidRPr="005A3C94">
              <w:rPr>
                <w:rFonts w:cs="Times New Roman"/>
                <w:sz w:val="24"/>
                <w:szCs w:val="24"/>
              </w:rPr>
              <w:t>Elemzési szint</w:t>
            </w:r>
          </w:p>
        </w:tc>
        <w:tc>
          <w:tcPr>
            <w:tcW w:w="1232" w:type="dxa"/>
            <w:vMerge w:val="restart"/>
            <w:vAlign w:val="center"/>
          </w:tcPr>
          <w:p w14:paraId="298C2FEA" w14:textId="77777777" w:rsidR="007C32FD" w:rsidRPr="005A3C94" w:rsidRDefault="0000404D" w:rsidP="00732D5B">
            <w:pPr>
              <w:spacing w:line="276" w:lineRule="auto"/>
              <w:jc w:val="center"/>
              <w:rPr>
                <w:rFonts w:cs="Times New Roman"/>
                <w:sz w:val="24"/>
                <w:szCs w:val="24"/>
              </w:rPr>
            </w:pPr>
            <w:r w:rsidRPr="005A3C94">
              <w:rPr>
                <w:rFonts w:cs="Times New Roman"/>
                <w:sz w:val="24"/>
                <w:szCs w:val="24"/>
              </w:rPr>
              <w:t>Átlag</w:t>
            </w:r>
          </w:p>
          <w:p w14:paraId="0216E9FF" w14:textId="77777777" w:rsidR="0000404D" w:rsidRPr="005A3C94" w:rsidRDefault="0000404D" w:rsidP="00732D5B">
            <w:pPr>
              <w:spacing w:line="276" w:lineRule="auto"/>
              <w:jc w:val="center"/>
              <w:rPr>
                <w:rFonts w:cs="Times New Roman"/>
                <w:sz w:val="24"/>
                <w:szCs w:val="24"/>
              </w:rPr>
            </w:pPr>
            <w:proofErr w:type="spellStart"/>
            <w:r w:rsidRPr="005A3C94">
              <w:rPr>
                <w:rFonts w:cs="Times New Roman"/>
                <w:sz w:val="24"/>
                <w:szCs w:val="24"/>
              </w:rPr>
              <w:t>k%p</w:t>
            </w:r>
            <w:proofErr w:type="spellEnd"/>
          </w:p>
        </w:tc>
        <w:tc>
          <w:tcPr>
            <w:tcW w:w="6333" w:type="dxa"/>
            <w:gridSpan w:val="5"/>
            <w:vAlign w:val="center"/>
          </w:tcPr>
          <w:p w14:paraId="441B81C6" w14:textId="73EC1957" w:rsidR="007C32FD" w:rsidRPr="005A3C94" w:rsidRDefault="00FB5367" w:rsidP="00732D5B">
            <w:pPr>
              <w:spacing w:line="276" w:lineRule="auto"/>
              <w:jc w:val="center"/>
              <w:rPr>
                <w:rFonts w:cs="Times New Roman"/>
                <w:sz w:val="24"/>
                <w:szCs w:val="24"/>
              </w:rPr>
            </w:pPr>
            <w:r w:rsidRPr="005A3C94">
              <w:rPr>
                <w:rFonts w:cs="Times New Roman"/>
                <w:sz w:val="24"/>
                <w:szCs w:val="24"/>
              </w:rPr>
              <w:t>A tanulók százalékos megoszlása az elsajátítási szintek szerint</w:t>
            </w:r>
          </w:p>
        </w:tc>
      </w:tr>
      <w:tr w:rsidR="0000404D" w:rsidRPr="005A3C94" w14:paraId="6E2E789D" w14:textId="77777777" w:rsidTr="00732D5B">
        <w:tc>
          <w:tcPr>
            <w:tcW w:w="1723" w:type="dxa"/>
            <w:vMerge/>
            <w:vAlign w:val="center"/>
          </w:tcPr>
          <w:p w14:paraId="52CDCA1C" w14:textId="77777777" w:rsidR="007C32FD" w:rsidRPr="005A3C94" w:rsidRDefault="007C32FD" w:rsidP="00732D5B">
            <w:pPr>
              <w:spacing w:line="276" w:lineRule="auto"/>
              <w:jc w:val="center"/>
              <w:rPr>
                <w:rFonts w:cs="Times New Roman"/>
                <w:sz w:val="24"/>
                <w:szCs w:val="24"/>
              </w:rPr>
            </w:pPr>
          </w:p>
        </w:tc>
        <w:tc>
          <w:tcPr>
            <w:tcW w:w="1232" w:type="dxa"/>
            <w:vMerge/>
            <w:vAlign w:val="center"/>
          </w:tcPr>
          <w:p w14:paraId="3BCF6386" w14:textId="77777777" w:rsidR="007C32FD" w:rsidRPr="005A3C94" w:rsidRDefault="007C32FD" w:rsidP="00732D5B">
            <w:pPr>
              <w:spacing w:line="276" w:lineRule="auto"/>
              <w:jc w:val="center"/>
              <w:rPr>
                <w:rFonts w:cs="Times New Roman"/>
                <w:sz w:val="24"/>
                <w:szCs w:val="24"/>
              </w:rPr>
            </w:pPr>
          </w:p>
        </w:tc>
        <w:tc>
          <w:tcPr>
            <w:tcW w:w="1287" w:type="dxa"/>
            <w:vAlign w:val="center"/>
          </w:tcPr>
          <w:p w14:paraId="1E29CCDF" w14:textId="77777777" w:rsidR="007C32FD" w:rsidRPr="005A3C94" w:rsidRDefault="0000404D" w:rsidP="00732D5B">
            <w:pPr>
              <w:spacing w:line="276" w:lineRule="auto"/>
              <w:jc w:val="center"/>
              <w:rPr>
                <w:rFonts w:cs="Times New Roman"/>
                <w:sz w:val="24"/>
                <w:szCs w:val="24"/>
              </w:rPr>
            </w:pPr>
            <w:r w:rsidRPr="005A3C94">
              <w:rPr>
                <w:rFonts w:cs="Times New Roman"/>
                <w:sz w:val="24"/>
                <w:szCs w:val="24"/>
              </w:rPr>
              <w:t>Előkészítő</w:t>
            </w:r>
          </w:p>
          <w:p w14:paraId="44A53B89" w14:textId="77777777" w:rsidR="0000404D" w:rsidRPr="005A3C94" w:rsidRDefault="0000404D" w:rsidP="00732D5B">
            <w:pPr>
              <w:spacing w:line="276" w:lineRule="auto"/>
              <w:jc w:val="center"/>
              <w:rPr>
                <w:rFonts w:cs="Times New Roman"/>
                <w:sz w:val="24"/>
                <w:szCs w:val="24"/>
              </w:rPr>
            </w:pPr>
            <w:r w:rsidRPr="005A3C94">
              <w:rPr>
                <w:rFonts w:cs="Times New Roman"/>
                <w:sz w:val="24"/>
                <w:szCs w:val="24"/>
              </w:rPr>
              <w:t xml:space="preserve">0-59 </w:t>
            </w:r>
            <w:proofErr w:type="spellStart"/>
            <w:r w:rsidRPr="005A3C94">
              <w:rPr>
                <w:rFonts w:cs="Times New Roman"/>
                <w:sz w:val="24"/>
                <w:szCs w:val="24"/>
              </w:rPr>
              <w:t>k%p</w:t>
            </w:r>
            <w:proofErr w:type="spellEnd"/>
          </w:p>
        </w:tc>
        <w:tc>
          <w:tcPr>
            <w:tcW w:w="1244" w:type="dxa"/>
            <w:vAlign w:val="center"/>
          </w:tcPr>
          <w:p w14:paraId="11E9DD46" w14:textId="77777777" w:rsidR="007C32FD" w:rsidRPr="005A3C94" w:rsidRDefault="0000404D" w:rsidP="00732D5B">
            <w:pPr>
              <w:spacing w:line="276" w:lineRule="auto"/>
              <w:jc w:val="center"/>
              <w:rPr>
                <w:rFonts w:cs="Times New Roman"/>
                <w:sz w:val="24"/>
                <w:szCs w:val="24"/>
              </w:rPr>
            </w:pPr>
            <w:r w:rsidRPr="005A3C94">
              <w:rPr>
                <w:rFonts w:cs="Times New Roman"/>
                <w:sz w:val="24"/>
                <w:szCs w:val="24"/>
              </w:rPr>
              <w:t>Kezdő</w:t>
            </w:r>
          </w:p>
          <w:p w14:paraId="53DA8C7D" w14:textId="77777777" w:rsidR="0000404D" w:rsidRPr="005A3C94" w:rsidRDefault="0000404D" w:rsidP="00732D5B">
            <w:pPr>
              <w:spacing w:line="276" w:lineRule="auto"/>
              <w:jc w:val="center"/>
              <w:rPr>
                <w:rFonts w:cs="Times New Roman"/>
                <w:sz w:val="24"/>
                <w:szCs w:val="24"/>
              </w:rPr>
            </w:pPr>
            <w:r w:rsidRPr="005A3C94">
              <w:rPr>
                <w:rFonts w:cs="Times New Roman"/>
                <w:sz w:val="24"/>
                <w:szCs w:val="24"/>
              </w:rPr>
              <w:t xml:space="preserve">60-69 </w:t>
            </w:r>
            <w:proofErr w:type="spellStart"/>
            <w:r w:rsidRPr="005A3C94">
              <w:rPr>
                <w:rFonts w:cs="Times New Roman"/>
                <w:sz w:val="24"/>
                <w:szCs w:val="24"/>
              </w:rPr>
              <w:t>k%p</w:t>
            </w:r>
            <w:proofErr w:type="spellEnd"/>
          </w:p>
        </w:tc>
        <w:tc>
          <w:tcPr>
            <w:tcW w:w="1252" w:type="dxa"/>
            <w:vAlign w:val="center"/>
          </w:tcPr>
          <w:p w14:paraId="024C6AE2" w14:textId="77777777" w:rsidR="007C32FD" w:rsidRPr="005A3C94" w:rsidRDefault="0000404D" w:rsidP="00732D5B">
            <w:pPr>
              <w:spacing w:line="276" w:lineRule="auto"/>
              <w:jc w:val="center"/>
              <w:rPr>
                <w:rFonts w:cs="Times New Roman"/>
                <w:sz w:val="24"/>
                <w:szCs w:val="24"/>
              </w:rPr>
            </w:pPr>
            <w:r w:rsidRPr="005A3C94">
              <w:rPr>
                <w:rFonts w:cs="Times New Roman"/>
                <w:sz w:val="24"/>
                <w:szCs w:val="24"/>
              </w:rPr>
              <w:t>Haladó</w:t>
            </w:r>
          </w:p>
          <w:p w14:paraId="48AD20EA" w14:textId="77777777" w:rsidR="0000404D" w:rsidRPr="005A3C94" w:rsidRDefault="0000404D" w:rsidP="00732D5B">
            <w:pPr>
              <w:spacing w:line="276" w:lineRule="auto"/>
              <w:jc w:val="center"/>
              <w:rPr>
                <w:rFonts w:cs="Times New Roman"/>
                <w:sz w:val="24"/>
                <w:szCs w:val="24"/>
              </w:rPr>
            </w:pPr>
            <w:r w:rsidRPr="005A3C94">
              <w:rPr>
                <w:rFonts w:cs="Times New Roman"/>
                <w:sz w:val="24"/>
                <w:szCs w:val="24"/>
              </w:rPr>
              <w:t xml:space="preserve">70-79 </w:t>
            </w:r>
            <w:proofErr w:type="spellStart"/>
            <w:r w:rsidRPr="005A3C94">
              <w:rPr>
                <w:rFonts w:cs="Times New Roman"/>
                <w:sz w:val="24"/>
                <w:szCs w:val="24"/>
              </w:rPr>
              <w:t>k%p</w:t>
            </w:r>
            <w:proofErr w:type="spellEnd"/>
          </w:p>
        </w:tc>
        <w:tc>
          <w:tcPr>
            <w:tcW w:w="1270" w:type="dxa"/>
            <w:vAlign w:val="center"/>
          </w:tcPr>
          <w:p w14:paraId="34D48F6C" w14:textId="77777777" w:rsidR="007C32FD" w:rsidRPr="005A3C94" w:rsidRDefault="0000404D" w:rsidP="00732D5B">
            <w:pPr>
              <w:spacing w:line="276" w:lineRule="auto"/>
              <w:jc w:val="center"/>
              <w:rPr>
                <w:rFonts w:cs="Times New Roman"/>
                <w:sz w:val="24"/>
                <w:szCs w:val="24"/>
              </w:rPr>
            </w:pPr>
            <w:r w:rsidRPr="005A3C94">
              <w:rPr>
                <w:rFonts w:cs="Times New Roman"/>
                <w:sz w:val="24"/>
                <w:szCs w:val="24"/>
              </w:rPr>
              <w:t>Befejező</w:t>
            </w:r>
          </w:p>
          <w:p w14:paraId="598EE79E" w14:textId="77777777" w:rsidR="0000404D" w:rsidRPr="005A3C94" w:rsidRDefault="0000404D" w:rsidP="00732D5B">
            <w:pPr>
              <w:spacing w:line="276" w:lineRule="auto"/>
              <w:jc w:val="center"/>
              <w:rPr>
                <w:rFonts w:cs="Times New Roman"/>
                <w:sz w:val="24"/>
                <w:szCs w:val="24"/>
              </w:rPr>
            </w:pPr>
            <w:r w:rsidRPr="005A3C94">
              <w:rPr>
                <w:rFonts w:cs="Times New Roman"/>
                <w:sz w:val="24"/>
                <w:szCs w:val="24"/>
              </w:rPr>
              <w:t xml:space="preserve">80-89 </w:t>
            </w:r>
            <w:proofErr w:type="spellStart"/>
            <w:r w:rsidRPr="005A3C94">
              <w:rPr>
                <w:rFonts w:cs="Times New Roman"/>
                <w:sz w:val="24"/>
                <w:szCs w:val="24"/>
              </w:rPr>
              <w:t>k%p</w:t>
            </w:r>
            <w:proofErr w:type="spellEnd"/>
          </w:p>
        </w:tc>
        <w:tc>
          <w:tcPr>
            <w:tcW w:w="1280" w:type="dxa"/>
            <w:vAlign w:val="center"/>
          </w:tcPr>
          <w:p w14:paraId="5A5879E1" w14:textId="77777777" w:rsidR="007C32FD" w:rsidRPr="005A3C94" w:rsidRDefault="0000404D" w:rsidP="00732D5B">
            <w:pPr>
              <w:spacing w:line="276" w:lineRule="auto"/>
              <w:jc w:val="center"/>
              <w:rPr>
                <w:rFonts w:cs="Times New Roman"/>
                <w:sz w:val="24"/>
                <w:szCs w:val="24"/>
              </w:rPr>
            </w:pPr>
            <w:r w:rsidRPr="005A3C94">
              <w:rPr>
                <w:rFonts w:cs="Times New Roman"/>
                <w:sz w:val="24"/>
                <w:szCs w:val="24"/>
              </w:rPr>
              <w:t>Optimális</w:t>
            </w:r>
          </w:p>
          <w:p w14:paraId="0F4892A5" w14:textId="77777777" w:rsidR="0000404D" w:rsidRPr="005A3C94" w:rsidRDefault="0000404D" w:rsidP="00732D5B">
            <w:pPr>
              <w:spacing w:line="276" w:lineRule="auto"/>
              <w:jc w:val="center"/>
              <w:rPr>
                <w:rFonts w:cs="Times New Roman"/>
                <w:sz w:val="24"/>
                <w:szCs w:val="24"/>
              </w:rPr>
            </w:pPr>
            <w:r w:rsidRPr="005A3C94">
              <w:rPr>
                <w:rFonts w:cs="Times New Roman"/>
                <w:sz w:val="24"/>
                <w:szCs w:val="24"/>
              </w:rPr>
              <w:t xml:space="preserve">90-100 </w:t>
            </w:r>
            <w:proofErr w:type="spellStart"/>
            <w:r w:rsidRPr="005A3C94">
              <w:rPr>
                <w:rFonts w:cs="Times New Roman"/>
                <w:sz w:val="24"/>
                <w:szCs w:val="24"/>
              </w:rPr>
              <w:t>k%p</w:t>
            </w:r>
            <w:proofErr w:type="spellEnd"/>
          </w:p>
        </w:tc>
      </w:tr>
      <w:tr w:rsidR="0000404D" w:rsidRPr="005A3C94" w14:paraId="667D53FE" w14:textId="77777777" w:rsidTr="00732D5B">
        <w:tc>
          <w:tcPr>
            <w:tcW w:w="1723" w:type="dxa"/>
            <w:vAlign w:val="center"/>
          </w:tcPr>
          <w:p w14:paraId="07D6137A" w14:textId="77777777" w:rsidR="00575019" w:rsidRPr="005A3C94" w:rsidRDefault="00FB5367" w:rsidP="00732D5B">
            <w:pPr>
              <w:spacing w:line="276" w:lineRule="auto"/>
              <w:jc w:val="center"/>
              <w:rPr>
                <w:rFonts w:cs="Times New Roman"/>
                <w:sz w:val="24"/>
                <w:szCs w:val="24"/>
              </w:rPr>
            </w:pPr>
            <w:r w:rsidRPr="005A3C94">
              <w:rPr>
                <w:rFonts w:cs="Times New Roman"/>
                <w:sz w:val="24"/>
                <w:szCs w:val="24"/>
              </w:rPr>
              <w:t>Országos</w:t>
            </w:r>
          </w:p>
        </w:tc>
        <w:tc>
          <w:tcPr>
            <w:tcW w:w="1232" w:type="dxa"/>
            <w:vAlign w:val="center"/>
          </w:tcPr>
          <w:p w14:paraId="3AB5ED49"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86</w:t>
            </w:r>
          </w:p>
        </w:tc>
        <w:tc>
          <w:tcPr>
            <w:tcW w:w="1287" w:type="dxa"/>
            <w:vAlign w:val="center"/>
          </w:tcPr>
          <w:p w14:paraId="705CEBAC"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1</w:t>
            </w:r>
          </w:p>
        </w:tc>
        <w:tc>
          <w:tcPr>
            <w:tcW w:w="1244" w:type="dxa"/>
            <w:vAlign w:val="center"/>
          </w:tcPr>
          <w:p w14:paraId="37CA23BD"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1</w:t>
            </w:r>
          </w:p>
        </w:tc>
        <w:tc>
          <w:tcPr>
            <w:tcW w:w="1252" w:type="dxa"/>
            <w:vAlign w:val="center"/>
          </w:tcPr>
          <w:p w14:paraId="60C9E60C"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10</w:t>
            </w:r>
          </w:p>
        </w:tc>
        <w:tc>
          <w:tcPr>
            <w:tcW w:w="1270" w:type="dxa"/>
            <w:vAlign w:val="center"/>
          </w:tcPr>
          <w:p w14:paraId="3C8B32C6"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59</w:t>
            </w:r>
          </w:p>
        </w:tc>
        <w:tc>
          <w:tcPr>
            <w:tcW w:w="1280" w:type="dxa"/>
            <w:vAlign w:val="center"/>
          </w:tcPr>
          <w:p w14:paraId="4327BCA8"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29</w:t>
            </w:r>
          </w:p>
        </w:tc>
      </w:tr>
      <w:tr w:rsidR="0000404D" w:rsidRPr="005A3C94" w14:paraId="656438E0" w14:textId="77777777" w:rsidTr="00732D5B">
        <w:tc>
          <w:tcPr>
            <w:tcW w:w="1723" w:type="dxa"/>
            <w:vAlign w:val="center"/>
          </w:tcPr>
          <w:p w14:paraId="710C24BE" w14:textId="77777777" w:rsidR="00575019" w:rsidRPr="005A3C94" w:rsidRDefault="00FB5367" w:rsidP="00732D5B">
            <w:pPr>
              <w:spacing w:line="276" w:lineRule="auto"/>
              <w:jc w:val="center"/>
              <w:rPr>
                <w:rFonts w:cs="Times New Roman"/>
                <w:sz w:val="24"/>
                <w:szCs w:val="24"/>
              </w:rPr>
            </w:pPr>
            <w:r w:rsidRPr="005A3C94">
              <w:rPr>
                <w:rFonts w:cs="Times New Roman"/>
                <w:sz w:val="24"/>
                <w:szCs w:val="24"/>
              </w:rPr>
              <w:t>Község</w:t>
            </w:r>
          </w:p>
        </w:tc>
        <w:tc>
          <w:tcPr>
            <w:tcW w:w="1232" w:type="dxa"/>
            <w:vAlign w:val="center"/>
          </w:tcPr>
          <w:p w14:paraId="79EA7552"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84</w:t>
            </w:r>
          </w:p>
        </w:tc>
        <w:tc>
          <w:tcPr>
            <w:tcW w:w="1287" w:type="dxa"/>
            <w:vAlign w:val="center"/>
          </w:tcPr>
          <w:p w14:paraId="32A3C500"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1</w:t>
            </w:r>
          </w:p>
        </w:tc>
        <w:tc>
          <w:tcPr>
            <w:tcW w:w="1244" w:type="dxa"/>
            <w:vAlign w:val="center"/>
          </w:tcPr>
          <w:p w14:paraId="4FC94E5E"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2</w:t>
            </w:r>
          </w:p>
        </w:tc>
        <w:tc>
          <w:tcPr>
            <w:tcW w:w="1252" w:type="dxa"/>
            <w:vAlign w:val="center"/>
          </w:tcPr>
          <w:p w14:paraId="78D03CEB"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16</w:t>
            </w:r>
          </w:p>
        </w:tc>
        <w:tc>
          <w:tcPr>
            <w:tcW w:w="1270" w:type="dxa"/>
            <w:vAlign w:val="center"/>
          </w:tcPr>
          <w:p w14:paraId="67BDFC3A"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58</w:t>
            </w:r>
          </w:p>
        </w:tc>
        <w:tc>
          <w:tcPr>
            <w:tcW w:w="1280" w:type="dxa"/>
            <w:vAlign w:val="center"/>
          </w:tcPr>
          <w:p w14:paraId="7E823CD2"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22</w:t>
            </w:r>
          </w:p>
        </w:tc>
      </w:tr>
      <w:tr w:rsidR="0000404D" w:rsidRPr="005A3C94" w14:paraId="5BE40170" w14:textId="77777777" w:rsidTr="00732D5B">
        <w:tc>
          <w:tcPr>
            <w:tcW w:w="1723" w:type="dxa"/>
            <w:vAlign w:val="center"/>
          </w:tcPr>
          <w:p w14:paraId="50E6DB7D" w14:textId="77777777" w:rsidR="00575019" w:rsidRPr="005A3C94" w:rsidRDefault="00FB5367" w:rsidP="00732D5B">
            <w:pPr>
              <w:spacing w:line="276" w:lineRule="auto"/>
              <w:jc w:val="center"/>
              <w:rPr>
                <w:rFonts w:cs="Times New Roman"/>
                <w:sz w:val="24"/>
                <w:szCs w:val="24"/>
              </w:rPr>
            </w:pPr>
            <w:r w:rsidRPr="005A3C94">
              <w:rPr>
                <w:rFonts w:cs="Times New Roman"/>
                <w:sz w:val="24"/>
                <w:szCs w:val="24"/>
              </w:rPr>
              <w:t>Város</w:t>
            </w:r>
          </w:p>
        </w:tc>
        <w:tc>
          <w:tcPr>
            <w:tcW w:w="1232" w:type="dxa"/>
            <w:vAlign w:val="center"/>
          </w:tcPr>
          <w:p w14:paraId="437F3CC0"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87</w:t>
            </w:r>
          </w:p>
        </w:tc>
        <w:tc>
          <w:tcPr>
            <w:tcW w:w="1287" w:type="dxa"/>
            <w:vAlign w:val="center"/>
          </w:tcPr>
          <w:p w14:paraId="034A72A3"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0</w:t>
            </w:r>
          </w:p>
        </w:tc>
        <w:tc>
          <w:tcPr>
            <w:tcW w:w="1244" w:type="dxa"/>
            <w:vAlign w:val="center"/>
          </w:tcPr>
          <w:p w14:paraId="5A1C855F"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1</w:t>
            </w:r>
          </w:p>
        </w:tc>
        <w:tc>
          <w:tcPr>
            <w:tcW w:w="1252" w:type="dxa"/>
            <w:vAlign w:val="center"/>
          </w:tcPr>
          <w:p w14:paraId="13356329"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9</w:t>
            </w:r>
          </w:p>
        </w:tc>
        <w:tc>
          <w:tcPr>
            <w:tcW w:w="1270" w:type="dxa"/>
            <w:vAlign w:val="center"/>
          </w:tcPr>
          <w:p w14:paraId="0229D79E"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58</w:t>
            </w:r>
          </w:p>
        </w:tc>
        <w:tc>
          <w:tcPr>
            <w:tcW w:w="1280" w:type="dxa"/>
            <w:vAlign w:val="center"/>
          </w:tcPr>
          <w:p w14:paraId="1A4172F6"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32</w:t>
            </w:r>
          </w:p>
        </w:tc>
      </w:tr>
      <w:tr w:rsidR="0000404D" w:rsidRPr="005A3C94" w14:paraId="5B7DC459" w14:textId="77777777" w:rsidTr="008F7079">
        <w:tc>
          <w:tcPr>
            <w:tcW w:w="1723" w:type="dxa"/>
            <w:vAlign w:val="center"/>
          </w:tcPr>
          <w:p w14:paraId="55180DC3" w14:textId="41FEC299" w:rsidR="00575019" w:rsidRPr="005A3C94" w:rsidRDefault="00FB5367" w:rsidP="00732D5B">
            <w:pPr>
              <w:spacing w:line="276" w:lineRule="auto"/>
              <w:jc w:val="center"/>
              <w:rPr>
                <w:rFonts w:cs="Times New Roman"/>
                <w:sz w:val="24"/>
                <w:szCs w:val="24"/>
              </w:rPr>
            </w:pPr>
            <w:r w:rsidRPr="005A3C94">
              <w:rPr>
                <w:rFonts w:cs="Times New Roman"/>
                <w:sz w:val="24"/>
                <w:szCs w:val="24"/>
              </w:rPr>
              <w:t>Megyeszékhely</w:t>
            </w:r>
            <w:r w:rsidR="00732D5B" w:rsidRPr="005A3C94">
              <w:rPr>
                <w:rFonts w:cs="Times New Roman"/>
                <w:sz w:val="24"/>
                <w:szCs w:val="24"/>
              </w:rPr>
              <w:t xml:space="preserve"> </w:t>
            </w:r>
            <w:r w:rsidR="00732D5B" w:rsidRPr="005A3C94">
              <w:rPr>
                <w:rFonts w:cs="Times New Roman"/>
                <w:i/>
                <w:sz w:val="24"/>
                <w:szCs w:val="24"/>
              </w:rPr>
              <w:t>(</w:t>
            </w:r>
            <w:proofErr w:type="spellStart"/>
            <w:r w:rsidR="00732D5B" w:rsidRPr="005A3C94">
              <w:rPr>
                <w:rFonts w:cs="Times New Roman"/>
                <w:i/>
                <w:sz w:val="24"/>
                <w:szCs w:val="24"/>
              </w:rPr>
              <w:t>pl</w:t>
            </w:r>
            <w:proofErr w:type="spellEnd"/>
            <w:r w:rsidR="00732D5B" w:rsidRPr="005A3C94">
              <w:rPr>
                <w:rFonts w:cs="Times New Roman"/>
                <w:i/>
                <w:sz w:val="24"/>
                <w:szCs w:val="24"/>
              </w:rPr>
              <w:t>: Pécs)</w:t>
            </w:r>
          </w:p>
        </w:tc>
        <w:tc>
          <w:tcPr>
            <w:tcW w:w="1232" w:type="dxa"/>
            <w:shd w:val="clear" w:color="auto" w:fill="C5E0B3" w:themeFill="accent6" w:themeFillTint="66"/>
            <w:vAlign w:val="center"/>
          </w:tcPr>
          <w:p w14:paraId="16D4D725"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87</w:t>
            </w:r>
          </w:p>
        </w:tc>
        <w:tc>
          <w:tcPr>
            <w:tcW w:w="1287" w:type="dxa"/>
            <w:vAlign w:val="center"/>
          </w:tcPr>
          <w:p w14:paraId="7E4E7018"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0</w:t>
            </w:r>
          </w:p>
        </w:tc>
        <w:tc>
          <w:tcPr>
            <w:tcW w:w="1244" w:type="dxa"/>
            <w:vAlign w:val="center"/>
          </w:tcPr>
          <w:p w14:paraId="222F37C4"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1</w:t>
            </w:r>
          </w:p>
        </w:tc>
        <w:tc>
          <w:tcPr>
            <w:tcW w:w="1252" w:type="dxa"/>
            <w:vAlign w:val="center"/>
          </w:tcPr>
          <w:p w14:paraId="087B152D"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8</w:t>
            </w:r>
          </w:p>
        </w:tc>
        <w:tc>
          <w:tcPr>
            <w:tcW w:w="1270" w:type="dxa"/>
            <w:vAlign w:val="center"/>
          </w:tcPr>
          <w:p w14:paraId="74E810F3"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59</w:t>
            </w:r>
          </w:p>
        </w:tc>
        <w:tc>
          <w:tcPr>
            <w:tcW w:w="1280" w:type="dxa"/>
            <w:vAlign w:val="center"/>
          </w:tcPr>
          <w:p w14:paraId="05DF1D90"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33</w:t>
            </w:r>
          </w:p>
        </w:tc>
      </w:tr>
      <w:tr w:rsidR="0000404D" w:rsidRPr="005A3C94" w14:paraId="5334C74E" w14:textId="77777777" w:rsidTr="00732D5B">
        <w:tc>
          <w:tcPr>
            <w:tcW w:w="1723" w:type="dxa"/>
            <w:vAlign w:val="center"/>
          </w:tcPr>
          <w:p w14:paraId="02E27C87" w14:textId="77777777" w:rsidR="00575019" w:rsidRPr="005A3C94" w:rsidRDefault="00FB5367" w:rsidP="00732D5B">
            <w:pPr>
              <w:spacing w:line="276" w:lineRule="auto"/>
              <w:jc w:val="center"/>
              <w:rPr>
                <w:rFonts w:cs="Times New Roman"/>
                <w:sz w:val="24"/>
                <w:szCs w:val="24"/>
              </w:rPr>
            </w:pPr>
            <w:r w:rsidRPr="005A3C94">
              <w:rPr>
                <w:rFonts w:cs="Times New Roman"/>
                <w:sz w:val="24"/>
                <w:szCs w:val="24"/>
              </w:rPr>
              <w:t>Budapest</w:t>
            </w:r>
          </w:p>
        </w:tc>
        <w:tc>
          <w:tcPr>
            <w:tcW w:w="1232" w:type="dxa"/>
            <w:vAlign w:val="center"/>
          </w:tcPr>
          <w:p w14:paraId="45CFF3A0"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88</w:t>
            </w:r>
          </w:p>
        </w:tc>
        <w:tc>
          <w:tcPr>
            <w:tcW w:w="1287" w:type="dxa"/>
            <w:vAlign w:val="center"/>
          </w:tcPr>
          <w:p w14:paraId="55C21DE3"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0</w:t>
            </w:r>
          </w:p>
        </w:tc>
        <w:tc>
          <w:tcPr>
            <w:tcW w:w="1244" w:type="dxa"/>
            <w:vAlign w:val="center"/>
          </w:tcPr>
          <w:p w14:paraId="1301795D"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1</w:t>
            </w:r>
          </w:p>
        </w:tc>
        <w:tc>
          <w:tcPr>
            <w:tcW w:w="1252" w:type="dxa"/>
            <w:vAlign w:val="center"/>
          </w:tcPr>
          <w:p w14:paraId="3A99ADD7"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5</w:t>
            </w:r>
          </w:p>
        </w:tc>
        <w:tc>
          <w:tcPr>
            <w:tcW w:w="1270" w:type="dxa"/>
            <w:vAlign w:val="center"/>
          </w:tcPr>
          <w:p w14:paraId="34AEEEC4"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59</w:t>
            </w:r>
          </w:p>
        </w:tc>
        <w:tc>
          <w:tcPr>
            <w:tcW w:w="1280" w:type="dxa"/>
            <w:vAlign w:val="center"/>
          </w:tcPr>
          <w:p w14:paraId="360AB0FE" w14:textId="77777777" w:rsidR="00575019" w:rsidRPr="005A3C94" w:rsidRDefault="0000404D" w:rsidP="00732D5B">
            <w:pPr>
              <w:spacing w:line="276" w:lineRule="auto"/>
              <w:jc w:val="center"/>
              <w:rPr>
                <w:rFonts w:cs="Times New Roman"/>
                <w:sz w:val="24"/>
                <w:szCs w:val="24"/>
              </w:rPr>
            </w:pPr>
            <w:r w:rsidRPr="005A3C94">
              <w:rPr>
                <w:rFonts w:cs="Times New Roman"/>
                <w:sz w:val="24"/>
                <w:szCs w:val="24"/>
              </w:rPr>
              <w:t>35</w:t>
            </w:r>
          </w:p>
        </w:tc>
      </w:tr>
    </w:tbl>
    <w:p w14:paraId="2ACEDCAB" w14:textId="2B6D94C9" w:rsidR="00575019" w:rsidRPr="005A3C94" w:rsidRDefault="00575019" w:rsidP="008C67DC">
      <w:pPr>
        <w:spacing w:line="276" w:lineRule="auto"/>
        <w:jc w:val="both"/>
        <w:rPr>
          <w:rFonts w:ascii="Times New Roman" w:hAnsi="Times New Roman" w:cs="Times New Roman"/>
          <w:sz w:val="24"/>
          <w:szCs w:val="24"/>
        </w:rPr>
      </w:pPr>
    </w:p>
    <w:p w14:paraId="5CF46416" w14:textId="23BC798B" w:rsidR="00575019" w:rsidRPr="005A3C94" w:rsidRDefault="00E623F7" w:rsidP="008C67D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Ezeket a táblázatban szereplő értékeket tekintjük referenciaértékeknek elemzésünkhöz. </w:t>
      </w:r>
      <w:r w:rsidR="00E544D0" w:rsidRPr="005A3C94">
        <w:rPr>
          <w:rFonts w:ascii="Times New Roman" w:hAnsi="Times New Roman" w:cs="Times New Roman"/>
          <w:sz w:val="24"/>
          <w:szCs w:val="24"/>
        </w:rPr>
        <w:t xml:space="preserve">Az általunk vizsgált csoportban, amelybe ötödikes gyerekek tartoznak, 84 százalék az átlagos olvasási képesség. Mivel Pécs megyeszékhely, ezért a </w:t>
      </w:r>
      <w:r w:rsidR="00682FDA" w:rsidRPr="005A3C94">
        <w:rPr>
          <w:rFonts w:ascii="Times New Roman" w:hAnsi="Times New Roman" w:cs="Times New Roman"/>
          <w:sz w:val="24"/>
          <w:szCs w:val="24"/>
        </w:rPr>
        <w:t xml:space="preserve">referenciaérték 87 százalék, a különbség tehát három százalékpont. </w:t>
      </w:r>
      <w:r w:rsidR="00564D69" w:rsidRPr="005A3C94">
        <w:rPr>
          <w:rFonts w:ascii="Times New Roman" w:hAnsi="Times New Roman" w:cs="Times New Roman"/>
          <w:sz w:val="24"/>
          <w:szCs w:val="24"/>
        </w:rPr>
        <w:t xml:space="preserve">Ez ugyan nem tűnik jelentős különbségnek, mivel azonban egy évvel idősebbekről van szó a mérésben, az eltérés fontos lehet. </w:t>
      </w:r>
    </w:p>
    <w:p w14:paraId="5D3010F2" w14:textId="05C32E3C" w:rsidR="008F7079" w:rsidRPr="005A3C94" w:rsidRDefault="008F7079" w:rsidP="008F7079">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Az alábbi ábra azt mutatja meg, hogy milyen volt az összes, mérésben részt vevő pécsi diák olvasási kiépültsége a bemenetkor és a kimenetkor. Jól látszik, hogy a mérésünkben szereplő ötödikes diákok körében jóval magasabb a haladó és befejező szinten olvasó gyerekek aránya, mint a táblázatban szereplő referenciaérték. Az optimális szinten olvasók aránya viszont alacsonyabb (33% helyett 16%), ami jelentős lemaradást jelent az országos átlaghoz képest, hiszen egy osztállyal feljebb járó diákok vettek részt a KP programban. </w:t>
      </w:r>
    </w:p>
    <w:p w14:paraId="48256211" w14:textId="77777777" w:rsidR="008F7079" w:rsidRPr="005A3C94" w:rsidRDefault="008F7079" w:rsidP="008C67DC">
      <w:pPr>
        <w:spacing w:line="276" w:lineRule="auto"/>
        <w:jc w:val="both"/>
        <w:rPr>
          <w:rFonts w:ascii="Times New Roman" w:hAnsi="Times New Roman" w:cs="Times New Roman"/>
          <w:sz w:val="24"/>
          <w:szCs w:val="24"/>
        </w:rPr>
      </w:pPr>
    </w:p>
    <w:p w14:paraId="35B9C744" w14:textId="77777777" w:rsidR="00AE0794" w:rsidRPr="005A3C94" w:rsidRDefault="00AE0794" w:rsidP="00AE0794">
      <w:pPr>
        <w:keepNext/>
        <w:spacing w:line="276" w:lineRule="auto"/>
        <w:jc w:val="center"/>
      </w:pPr>
      <w:r w:rsidRPr="005A3C94">
        <w:rPr>
          <w:noProof/>
          <w:lang w:eastAsia="hu-HU"/>
        </w:rPr>
        <w:drawing>
          <wp:inline distT="0" distB="0" distL="0" distR="0" wp14:anchorId="56F932EE" wp14:editId="31CBB0E0">
            <wp:extent cx="5353050" cy="323850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14EDC5" w14:textId="706508F9" w:rsidR="000854EB" w:rsidRPr="005A3C94" w:rsidRDefault="00AE0794" w:rsidP="008F7079">
      <w:pPr>
        <w:pStyle w:val="Kpalrs"/>
      </w:pPr>
      <w:r w:rsidRPr="005A3C94">
        <w:rPr>
          <w:rFonts w:cs="Times New Roman"/>
        </w:rPr>
        <w:fldChar w:fldCharType="begin"/>
      </w:r>
      <w:r w:rsidRPr="005A3C94">
        <w:rPr>
          <w:rFonts w:cs="Times New Roman"/>
        </w:rPr>
        <w:instrText xml:space="preserve"> SEQ ábra \* ARABIC </w:instrText>
      </w:r>
      <w:r w:rsidRPr="005A3C94">
        <w:rPr>
          <w:rFonts w:cs="Times New Roman"/>
        </w:rPr>
        <w:fldChar w:fldCharType="separate"/>
      </w:r>
      <w:r w:rsidR="00483414" w:rsidRPr="005A3C94">
        <w:rPr>
          <w:rFonts w:cs="Times New Roman"/>
          <w:noProof/>
        </w:rPr>
        <w:t>5</w:t>
      </w:r>
      <w:r w:rsidRPr="005A3C94">
        <w:rPr>
          <w:rFonts w:cs="Times New Roman"/>
        </w:rPr>
        <w:fldChar w:fldCharType="end"/>
      </w:r>
      <w:r w:rsidRPr="005A3C94">
        <w:t>. ábra</w:t>
      </w:r>
      <w:r w:rsidR="00633E1B" w:rsidRPr="005A3C94">
        <w:t>: A mérésben részt vevő tanulók</w:t>
      </w:r>
      <w:r w:rsidRPr="005A3C94">
        <w:t xml:space="preserve"> olvasási kiépültsége a bemeneti és a kimeneti méréskor</w:t>
      </w:r>
    </w:p>
    <w:p w14:paraId="03213929" w14:textId="7288792D" w:rsidR="008F7079" w:rsidRPr="005A3C94" w:rsidRDefault="008F7079" w:rsidP="0053434F">
      <w:pPr>
        <w:jc w:val="both"/>
      </w:pPr>
      <w:r w:rsidRPr="005A3C94">
        <w:rPr>
          <w:rFonts w:ascii="Times New Roman" w:hAnsi="Times New Roman" w:cs="Times New Roman"/>
          <w:sz w:val="24"/>
          <w:szCs w:val="24"/>
        </w:rPr>
        <w:t xml:space="preserve">A 6. ábrán külön láthatjuk a kontroll és a kísérleti csoportokban résztvevő diákok olvasási kiépültségét a bemeneti és kimeneti méréskor. A program fontos eredménye, hogy </w:t>
      </w:r>
      <w:r w:rsidRPr="005A3C94">
        <w:rPr>
          <w:rFonts w:ascii="Times New Roman" w:hAnsi="Times New Roman" w:cs="Times New Roman"/>
          <w:b/>
          <w:sz w:val="24"/>
          <w:szCs w:val="24"/>
        </w:rPr>
        <w:t>a kísérleti csoportban jelentősen, a kontroll csoportot is meghaladó mértékben nőtt az op</w:t>
      </w:r>
      <w:r w:rsidR="0053434F" w:rsidRPr="005A3C94">
        <w:rPr>
          <w:rFonts w:ascii="Times New Roman" w:hAnsi="Times New Roman" w:cs="Times New Roman"/>
          <w:b/>
          <w:sz w:val="24"/>
          <w:szCs w:val="24"/>
        </w:rPr>
        <w:t>timális szinten olvasók aránya</w:t>
      </w:r>
      <w:r w:rsidR="0053434F" w:rsidRPr="005A3C94">
        <w:rPr>
          <w:rFonts w:ascii="Times New Roman" w:hAnsi="Times New Roman" w:cs="Times New Roman"/>
          <w:sz w:val="24"/>
          <w:szCs w:val="24"/>
        </w:rPr>
        <w:t xml:space="preserve">, </w:t>
      </w:r>
      <w:proofErr w:type="spellStart"/>
      <w:r w:rsidR="0053434F" w:rsidRPr="005A3C94">
        <w:rPr>
          <w:rFonts w:ascii="Times New Roman" w:hAnsi="Times New Roman" w:cs="Times New Roman"/>
          <w:sz w:val="24"/>
          <w:szCs w:val="24"/>
        </w:rPr>
        <w:t>kísl</w:t>
      </w:r>
      <w:r w:rsidRPr="005A3C94">
        <w:rPr>
          <w:rFonts w:ascii="Times New Roman" w:hAnsi="Times New Roman" w:cs="Times New Roman"/>
          <w:sz w:val="24"/>
          <w:szCs w:val="24"/>
        </w:rPr>
        <w:t>ráeti</w:t>
      </w:r>
      <w:proofErr w:type="spellEnd"/>
      <w:r w:rsidRPr="005A3C94">
        <w:rPr>
          <w:rFonts w:ascii="Times New Roman" w:hAnsi="Times New Roman" w:cs="Times New Roman"/>
          <w:sz w:val="24"/>
          <w:szCs w:val="24"/>
        </w:rPr>
        <w:t xml:space="preserve"> csoportban a növekedés mértéke 350%, míg a </w:t>
      </w:r>
      <w:r w:rsidR="0053434F" w:rsidRPr="005A3C94">
        <w:rPr>
          <w:rFonts w:ascii="Times New Roman" w:hAnsi="Times New Roman" w:cs="Times New Roman"/>
          <w:sz w:val="24"/>
          <w:szCs w:val="24"/>
        </w:rPr>
        <w:t xml:space="preserve">kontroll csoportban 25%. Ezzel </w:t>
      </w:r>
      <w:proofErr w:type="spellStart"/>
      <w:r w:rsidR="0053434F" w:rsidRPr="005A3C94">
        <w:rPr>
          <w:rFonts w:ascii="Times New Roman" w:hAnsi="Times New Roman" w:cs="Times New Roman"/>
          <w:sz w:val="24"/>
          <w:szCs w:val="24"/>
        </w:rPr>
        <w:t>egyidőben</w:t>
      </w:r>
      <w:proofErr w:type="spellEnd"/>
      <w:r w:rsidR="0053434F" w:rsidRPr="005A3C94">
        <w:rPr>
          <w:rFonts w:ascii="Times New Roman" w:hAnsi="Times New Roman" w:cs="Times New Roman"/>
          <w:sz w:val="24"/>
          <w:szCs w:val="24"/>
        </w:rPr>
        <w:t xml:space="preserve"> pedig mindkét csoportban jelentősen csökkent a haladó szinten olvasók aránya.</w:t>
      </w:r>
    </w:p>
    <w:p w14:paraId="77F70C57" w14:textId="77777777" w:rsidR="00633E1B" w:rsidRPr="005A3C94" w:rsidRDefault="00633E1B" w:rsidP="00633E1B">
      <w:pPr>
        <w:keepNext/>
        <w:spacing w:line="276" w:lineRule="auto"/>
        <w:jc w:val="center"/>
      </w:pPr>
      <w:r w:rsidRPr="005A3C94">
        <w:rPr>
          <w:noProof/>
          <w:lang w:eastAsia="hu-HU"/>
        </w:rPr>
        <w:drawing>
          <wp:inline distT="0" distB="0" distL="0" distR="0" wp14:anchorId="748AA05C" wp14:editId="0536DF4A">
            <wp:extent cx="5457825" cy="3376613"/>
            <wp:effectExtent l="0" t="0" r="9525" b="1460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A14F1A" w14:textId="551D76C7" w:rsidR="00633E1B" w:rsidRPr="005A3C94" w:rsidRDefault="00DF1D13" w:rsidP="008F7079">
      <w:pPr>
        <w:pStyle w:val="Kpalrs"/>
      </w:pPr>
      <w:r>
        <w:fldChar w:fldCharType="begin"/>
      </w:r>
      <w:r>
        <w:instrText xml:space="preserve"> SEQ ábra \* ARABIC </w:instrText>
      </w:r>
      <w:r>
        <w:fldChar w:fldCharType="separate"/>
      </w:r>
      <w:r w:rsidR="00483414" w:rsidRPr="005A3C94">
        <w:rPr>
          <w:noProof/>
        </w:rPr>
        <w:t>6</w:t>
      </w:r>
      <w:r>
        <w:rPr>
          <w:noProof/>
        </w:rPr>
        <w:fldChar w:fldCharType="end"/>
      </w:r>
      <w:r w:rsidR="00633E1B" w:rsidRPr="005A3C94">
        <w:t>. ábra: Olvasási kiépültség a bemeneti és kimeneti méréskor, kontroll és kísérleti csoportok szerint</w:t>
      </w:r>
    </w:p>
    <w:p w14:paraId="2A305377" w14:textId="5ADD853B" w:rsidR="0053434F" w:rsidRPr="005A3C94" w:rsidRDefault="0053434F" w:rsidP="00AB07AD">
      <w:pPr>
        <w:spacing w:line="276" w:lineRule="auto"/>
        <w:jc w:val="both"/>
      </w:pPr>
      <w:r w:rsidRPr="005A3C94">
        <w:rPr>
          <w:rFonts w:ascii="Times New Roman" w:hAnsi="Times New Roman" w:cs="Times New Roman"/>
          <w:sz w:val="24"/>
          <w:szCs w:val="24"/>
        </w:rPr>
        <w:t>Az alábbi táblázatokban azt vizsgáltuk, hogy hogyan függ össze az olvasási kiépültség az attitűdkérdésekre adott pozitív válaszok átlagos száma.</w:t>
      </w:r>
      <w:r w:rsidR="004A58D5" w:rsidRPr="005A3C94">
        <w:rPr>
          <w:rFonts w:ascii="Times New Roman" w:hAnsi="Times New Roman" w:cs="Times New Roman"/>
          <w:sz w:val="24"/>
          <w:szCs w:val="24"/>
        </w:rPr>
        <w:t xml:space="preserve"> A bemeneti mérésben egyértelmű az összefüggés, hogy minél jobban tud valaki olvasni, annál több </w:t>
      </w:r>
      <w:proofErr w:type="spellStart"/>
      <w:r w:rsidR="004A58D5" w:rsidRPr="005A3C94">
        <w:rPr>
          <w:rFonts w:ascii="Times New Roman" w:hAnsi="Times New Roman" w:cs="Times New Roman"/>
          <w:sz w:val="24"/>
          <w:szCs w:val="24"/>
        </w:rPr>
        <w:t>poitív</w:t>
      </w:r>
      <w:proofErr w:type="spellEnd"/>
      <w:r w:rsidR="004A58D5" w:rsidRPr="005A3C94">
        <w:rPr>
          <w:rFonts w:ascii="Times New Roman" w:hAnsi="Times New Roman" w:cs="Times New Roman"/>
          <w:sz w:val="24"/>
          <w:szCs w:val="24"/>
        </w:rPr>
        <w:t xml:space="preserve"> választ ad, ám a kimeneti méréskor - amikor jelentősen megnövekszik a magasabb szinten olvasók száma – ez az összefüggés már nem áll fent. </w:t>
      </w:r>
      <w:r w:rsidR="00AB07AD" w:rsidRPr="005A3C94">
        <w:rPr>
          <w:rFonts w:ascii="Times New Roman" w:hAnsi="Times New Roman" w:cs="Times New Roman"/>
          <w:sz w:val="24"/>
          <w:szCs w:val="24"/>
        </w:rPr>
        <w:t xml:space="preserve">Továbbá az is látszik, hogy az optimális olvasók számának növekedésével </w:t>
      </w:r>
      <w:proofErr w:type="spellStart"/>
      <w:r w:rsidR="00AB07AD" w:rsidRPr="005A3C94">
        <w:rPr>
          <w:rFonts w:ascii="Times New Roman" w:hAnsi="Times New Roman" w:cs="Times New Roman"/>
          <w:sz w:val="24"/>
          <w:szCs w:val="24"/>
        </w:rPr>
        <w:t>egyidőben</w:t>
      </w:r>
      <w:proofErr w:type="spellEnd"/>
      <w:r w:rsidR="00AB07AD" w:rsidRPr="005A3C94">
        <w:rPr>
          <w:rFonts w:ascii="Times New Roman" w:hAnsi="Times New Roman" w:cs="Times New Roman"/>
          <w:sz w:val="24"/>
          <w:szCs w:val="24"/>
        </w:rPr>
        <w:t xml:space="preserve"> se </w:t>
      </w:r>
      <w:proofErr w:type="gramStart"/>
      <w:r w:rsidR="00AB07AD" w:rsidRPr="005A3C94">
        <w:rPr>
          <w:rFonts w:ascii="Times New Roman" w:hAnsi="Times New Roman" w:cs="Times New Roman"/>
          <w:sz w:val="24"/>
          <w:szCs w:val="24"/>
        </w:rPr>
        <w:t>ezen</w:t>
      </w:r>
      <w:proofErr w:type="gramEnd"/>
      <w:r w:rsidR="00AB07AD" w:rsidRPr="005A3C94">
        <w:rPr>
          <w:rFonts w:ascii="Times New Roman" w:hAnsi="Times New Roman" w:cs="Times New Roman"/>
          <w:sz w:val="24"/>
          <w:szCs w:val="24"/>
        </w:rPr>
        <w:t xml:space="preserve"> diákok szociális képességei, se </w:t>
      </w:r>
      <w:proofErr w:type="spellStart"/>
      <w:r w:rsidR="00AB07AD" w:rsidRPr="005A3C94">
        <w:rPr>
          <w:rFonts w:ascii="Times New Roman" w:hAnsi="Times New Roman" w:cs="Times New Roman"/>
          <w:sz w:val="24"/>
          <w:szCs w:val="24"/>
        </w:rPr>
        <w:t>empáia</w:t>
      </w:r>
      <w:proofErr w:type="spellEnd"/>
      <w:r w:rsidR="00AB07AD" w:rsidRPr="005A3C94">
        <w:rPr>
          <w:rFonts w:ascii="Times New Roman" w:hAnsi="Times New Roman" w:cs="Times New Roman"/>
          <w:sz w:val="24"/>
          <w:szCs w:val="24"/>
        </w:rPr>
        <w:t xml:space="preserve"> szintje, se tanulási motivációja nem változtak pozitív irányba.</w:t>
      </w:r>
    </w:p>
    <w:p w14:paraId="01CC8830" w14:textId="4DEDCFCE" w:rsidR="0053434F" w:rsidRPr="009E4F2E" w:rsidRDefault="00DF1D13" w:rsidP="0053434F">
      <w:pPr>
        <w:pStyle w:val="Kpalrs"/>
        <w:keepNext/>
        <w:rPr>
          <w:u w:val="single"/>
        </w:rPr>
      </w:pPr>
      <w:r>
        <w:fldChar w:fldCharType="begin"/>
      </w:r>
      <w:r>
        <w:instrText xml:space="preserve"> SEQ táblázat \* ARABIC </w:instrText>
      </w:r>
      <w:r>
        <w:fldChar w:fldCharType="separate"/>
      </w:r>
      <w:r w:rsidR="00DC5809">
        <w:rPr>
          <w:noProof/>
        </w:rPr>
        <w:t>11</w:t>
      </w:r>
      <w:r>
        <w:rPr>
          <w:noProof/>
        </w:rPr>
        <w:fldChar w:fldCharType="end"/>
      </w:r>
      <w:r w:rsidR="0053434F" w:rsidRPr="005A3C94">
        <w:t xml:space="preserve">. táblázat: Az olvasási kiépültség szerinti átlagos standardizált pozitív válaszok száma a szociális készségekre adott válaszok alapján </w:t>
      </w:r>
      <w:r w:rsidR="0053434F" w:rsidRPr="009E4F2E">
        <w:rPr>
          <w:u w:val="single"/>
        </w:rPr>
        <w:t>bemenetkor</w:t>
      </w:r>
    </w:p>
    <w:tbl>
      <w:tblPr>
        <w:tblW w:w="7586" w:type="dxa"/>
        <w:jc w:val="center"/>
        <w:tblCellMar>
          <w:left w:w="70" w:type="dxa"/>
          <w:right w:w="70" w:type="dxa"/>
        </w:tblCellMar>
        <w:tblLook w:val="04A0" w:firstRow="1" w:lastRow="0" w:firstColumn="1" w:lastColumn="0" w:noHBand="0" w:noVBand="1"/>
      </w:tblPr>
      <w:tblGrid>
        <w:gridCol w:w="1217"/>
        <w:gridCol w:w="1782"/>
        <w:gridCol w:w="1220"/>
        <w:gridCol w:w="1275"/>
        <w:gridCol w:w="991"/>
        <w:gridCol w:w="1101"/>
      </w:tblGrid>
      <w:tr w:rsidR="0053434F" w:rsidRPr="005A3C94" w14:paraId="303207BA" w14:textId="77777777" w:rsidTr="0053434F">
        <w:trPr>
          <w:trHeight w:val="630"/>
          <w:jc w:val="center"/>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DD145" w14:textId="77777777" w:rsidR="0053434F" w:rsidRPr="005A3C94" w:rsidRDefault="0053434F" w:rsidP="0053434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 </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2162010F"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Kontroll/kísérleti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7CF70BF"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Énkép</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251B9F"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Szociális képesség</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36A1AF2E"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Empátia</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73CA3A78"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Tanulási motiváció</w:t>
            </w:r>
          </w:p>
        </w:tc>
      </w:tr>
      <w:tr w:rsidR="0053434F" w:rsidRPr="005A3C94" w14:paraId="08810CAE" w14:textId="77777777" w:rsidTr="0053434F">
        <w:trPr>
          <w:trHeight w:val="315"/>
          <w:jc w:val="center"/>
        </w:trPr>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0A5F4769"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Haladó</w:t>
            </w:r>
          </w:p>
        </w:tc>
        <w:tc>
          <w:tcPr>
            <w:tcW w:w="1782" w:type="dxa"/>
            <w:tcBorders>
              <w:top w:val="nil"/>
              <w:left w:val="nil"/>
              <w:bottom w:val="single" w:sz="4" w:space="0" w:color="auto"/>
              <w:right w:val="single" w:sz="4" w:space="0" w:color="auto"/>
            </w:tcBorders>
            <w:shd w:val="clear" w:color="auto" w:fill="auto"/>
            <w:vAlign w:val="center"/>
            <w:hideMark/>
          </w:tcPr>
          <w:p w14:paraId="04433CA6" w14:textId="77777777" w:rsidR="0053434F" w:rsidRPr="005A3C94" w:rsidRDefault="0053434F" w:rsidP="0053434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220" w:type="dxa"/>
            <w:tcBorders>
              <w:top w:val="nil"/>
              <w:left w:val="nil"/>
              <w:bottom w:val="single" w:sz="4" w:space="0" w:color="auto"/>
              <w:right w:val="single" w:sz="4" w:space="0" w:color="auto"/>
            </w:tcBorders>
            <w:shd w:val="clear" w:color="auto" w:fill="auto"/>
            <w:vAlign w:val="center"/>
            <w:hideMark/>
          </w:tcPr>
          <w:p w14:paraId="227A53F2"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-0,565</w:t>
            </w:r>
          </w:p>
        </w:tc>
        <w:tc>
          <w:tcPr>
            <w:tcW w:w="1275" w:type="dxa"/>
            <w:tcBorders>
              <w:top w:val="nil"/>
              <w:left w:val="nil"/>
              <w:bottom w:val="single" w:sz="4" w:space="0" w:color="auto"/>
              <w:right w:val="single" w:sz="4" w:space="0" w:color="auto"/>
            </w:tcBorders>
            <w:shd w:val="clear" w:color="auto" w:fill="auto"/>
            <w:vAlign w:val="center"/>
            <w:hideMark/>
          </w:tcPr>
          <w:p w14:paraId="49F321C3"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0,474</w:t>
            </w:r>
          </w:p>
        </w:tc>
        <w:tc>
          <w:tcPr>
            <w:tcW w:w="991" w:type="dxa"/>
            <w:tcBorders>
              <w:top w:val="nil"/>
              <w:left w:val="nil"/>
              <w:bottom w:val="single" w:sz="4" w:space="0" w:color="auto"/>
              <w:right w:val="single" w:sz="4" w:space="0" w:color="auto"/>
            </w:tcBorders>
            <w:shd w:val="clear" w:color="auto" w:fill="auto"/>
            <w:vAlign w:val="center"/>
            <w:hideMark/>
          </w:tcPr>
          <w:p w14:paraId="0F630E2F"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0,067</w:t>
            </w:r>
          </w:p>
        </w:tc>
        <w:tc>
          <w:tcPr>
            <w:tcW w:w="1101" w:type="dxa"/>
            <w:tcBorders>
              <w:top w:val="nil"/>
              <w:left w:val="nil"/>
              <w:bottom w:val="single" w:sz="4" w:space="0" w:color="auto"/>
              <w:right w:val="single" w:sz="4" w:space="0" w:color="auto"/>
            </w:tcBorders>
            <w:shd w:val="clear" w:color="auto" w:fill="auto"/>
            <w:vAlign w:val="center"/>
            <w:hideMark/>
          </w:tcPr>
          <w:p w14:paraId="6623DA78"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0,275</w:t>
            </w:r>
          </w:p>
        </w:tc>
      </w:tr>
      <w:tr w:rsidR="0053434F" w:rsidRPr="005A3C94" w14:paraId="629A5320" w14:textId="77777777" w:rsidTr="0053434F">
        <w:trPr>
          <w:trHeight w:val="315"/>
          <w:jc w:val="center"/>
        </w:trPr>
        <w:tc>
          <w:tcPr>
            <w:tcW w:w="1217" w:type="dxa"/>
            <w:vMerge/>
            <w:tcBorders>
              <w:top w:val="nil"/>
              <w:left w:val="single" w:sz="4" w:space="0" w:color="auto"/>
              <w:bottom w:val="single" w:sz="4" w:space="0" w:color="auto"/>
              <w:right w:val="single" w:sz="4" w:space="0" w:color="auto"/>
            </w:tcBorders>
            <w:vAlign w:val="center"/>
            <w:hideMark/>
          </w:tcPr>
          <w:p w14:paraId="59D035F1" w14:textId="77777777" w:rsidR="0053434F" w:rsidRPr="005A3C94" w:rsidRDefault="0053434F" w:rsidP="0053434F">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23B24A60" w14:textId="77777777" w:rsidR="0053434F" w:rsidRPr="005A3C94" w:rsidRDefault="0053434F" w:rsidP="0053434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220" w:type="dxa"/>
            <w:tcBorders>
              <w:top w:val="nil"/>
              <w:left w:val="nil"/>
              <w:bottom w:val="single" w:sz="4" w:space="0" w:color="auto"/>
              <w:right w:val="single" w:sz="4" w:space="0" w:color="auto"/>
            </w:tcBorders>
            <w:shd w:val="clear" w:color="auto" w:fill="auto"/>
            <w:vAlign w:val="center"/>
            <w:hideMark/>
          </w:tcPr>
          <w:p w14:paraId="09DC06F7"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-0,609</w:t>
            </w:r>
          </w:p>
        </w:tc>
        <w:tc>
          <w:tcPr>
            <w:tcW w:w="1275" w:type="dxa"/>
            <w:tcBorders>
              <w:top w:val="nil"/>
              <w:left w:val="nil"/>
              <w:bottom w:val="single" w:sz="4" w:space="0" w:color="auto"/>
              <w:right w:val="single" w:sz="4" w:space="0" w:color="auto"/>
            </w:tcBorders>
            <w:shd w:val="clear" w:color="auto" w:fill="auto"/>
            <w:vAlign w:val="center"/>
            <w:hideMark/>
          </w:tcPr>
          <w:p w14:paraId="5903ED26"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-0,558</w:t>
            </w:r>
          </w:p>
        </w:tc>
        <w:tc>
          <w:tcPr>
            <w:tcW w:w="991" w:type="dxa"/>
            <w:tcBorders>
              <w:top w:val="nil"/>
              <w:left w:val="nil"/>
              <w:bottom w:val="single" w:sz="4" w:space="0" w:color="auto"/>
              <w:right w:val="single" w:sz="4" w:space="0" w:color="auto"/>
            </w:tcBorders>
            <w:shd w:val="clear" w:color="auto" w:fill="auto"/>
            <w:vAlign w:val="center"/>
            <w:hideMark/>
          </w:tcPr>
          <w:p w14:paraId="06ADA639"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-0,47</w:t>
            </w:r>
          </w:p>
        </w:tc>
        <w:tc>
          <w:tcPr>
            <w:tcW w:w="1101" w:type="dxa"/>
            <w:tcBorders>
              <w:top w:val="nil"/>
              <w:left w:val="nil"/>
              <w:bottom w:val="single" w:sz="4" w:space="0" w:color="auto"/>
              <w:right w:val="single" w:sz="4" w:space="0" w:color="auto"/>
            </w:tcBorders>
            <w:shd w:val="clear" w:color="auto" w:fill="auto"/>
            <w:vAlign w:val="center"/>
            <w:hideMark/>
          </w:tcPr>
          <w:p w14:paraId="4ECE7CE6"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-0,216</w:t>
            </w:r>
          </w:p>
        </w:tc>
      </w:tr>
      <w:tr w:rsidR="0053434F" w:rsidRPr="005A3C94" w14:paraId="4788773A" w14:textId="77777777" w:rsidTr="0053434F">
        <w:trPr>
          <w:trHeight w:val="315"/>
          <w:jc w:val="center"/>
        </w:trPr>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5573EF14"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Befejező</w:t>
            </w:r>
          </w:p>
        </w:tc>
        <w:tc>
          <w:tcPr>
            <w:tcW w:w="1782" w:type="dxa"/>
            <w:tcBorders>
              <w:top w:val="nil"/>
              <w:left w:val="nil"/>
              <w:bottom w:val="single" w:sz="4" w:space="0" w:color="auto"/>
              <w:right w:val="single" w:sz="4" w:space="0" w:color="auto"/>
            </w:tcBorders>
            <w:shd w:val="clear" w:color="auto" w:fill="auto"/>
            <w:vAlign w:val="center"/>
            <w:hideMark/>
          </w:tcPr>
          <w:p w14:paraId="5BA7C727" w14:textId="77777777" w:rsidR="0053434F" w:rsidRPr="005A3C94" w:rsidRDefault="0053434F" w:rsidP="0053434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220" w:type="dxa"/>
            <w:tcBorders>
              <w:top w:val="nil"/>
              <w:left w:val="nil"/>
              <w:bottom w:val="single" w:sz="4" w:space="0" w:color="auto"/>
              <w:right w:val="single" w:sz="4" w:space="0" w:color="auto"/>
            </w:tcBorders>
            <w:shd w:val="clear" w:color="auto" w:fill="auto"/>
            <w:vAlign w:val="center"/>
            <w:hideMark/>
          </w:tcPr>
          <w:p w14:paraId="4E900ACB"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0,193</w:t>
            </w:r>
          </w:p>
        </w:tc>
        <w:tc>
          <w:tcPr>
            <w:tcW w:w="1275" w:type="dxa"/>
            <w:tcBorders>
              <w:top w:val="nil"/>
              <w:left w:val="nil"/>
              <w:bottom w:val="single" w:sz="4" w:space="0" w:color="auto"/>
              <w:right w:val="single" w:sz="4" w:space="0" w:color="auto"/>
            </w:tcBorders>
            <w:shd w:val="clear" w:color="auto" w:fill="auto"/>
            <w:vAlign w:val="center"/>
            <w:hideMark/>
          </w:tcPr>
          <w:p w14:paraId="06FAEF9B"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0,126</w:t>
            </w:r>
          </w:p>
        </w:tc>
        <w:tc>
          <w:tcPr>
            <w:tcW w:w="991" w:type="dxa"/>
            <w:tcBorders>
              <w:top w:val="nil"/>
              <w:left w:val="nil"/>
              <w:bottom w:val="single" w:sz="4" w:space="0" w:color="auto"/>
              <w:right w:val="single" w:sz="4" w:space="0" w:color="auto"/>
            </w:tcBorders>
            <w:shd w:val="clear" w:color="auto" w:fill="auto"/>
            <w:vAlign w:val="center"/>
            <w:hideMark/>
          </w:tcPr>
          <w:p w14:paraId="63C6C953"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0,068</w:t>
            </w:r>
          </w:p>
        </w:tc>
        <w:tc>
          <w:tcPr>
            <w:tcW w:w="1101" w:type="dxa"/>
            <w:tcBorders>
              <w:top w:val="nil"/>
              <w:left w:val="nil"/>
              <w:bottom w:val="single" w:sz="4" w:space="0" w:color="auto"/>
              <w:right w:val="single" w:sz="4" w:space="0" w:color="auto"/>
            </w:tcBorders>
            <w:shd w:val="clear" w:color="auto" w:fill="auto"/>
            <w:vAlign w:val="center"/>
            <w:hideMark/>
          </w:tcPr>
          <w:p w14:paraId="5C2661F2"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-0,028</w:t>
            </w:r>
          </w:p>
        </w:tc>
      </w:tr>
      <w:tr w:rsidR="0053434F" w:rsidRPr="005A3C94" w14:paraId="029F1935" w14:textId="77777777" w:rsidTr="0053434F">
        <w:trPr>
          <w:trHeight w:val="315"/>
          <w:jc w:val="center"/>
        </w:trPr>
        <w:tc>
          <w:tcPr>
            <w:tcW w:w="1217" w:type="dxa"/>
            <w:vMerge/>
            <w:tcBorders>
              <w:top w:val="nil"/>
              <w:left w:val="single" w:sz="4" w:space="0" w:color="auto"/>
              <w:bottom w:val="single" w:sz="4" w:space="0" w:color="auto"/>
              <w:right w:val="single" w:sz="4" w:space="0" w:color="auto"/>
            </w:tcBorders>
            <w:vAlign w:val="center"/>
            <w:hideMark/>
          </w:tcPr>
          <w:p w14:paraId="5952BEA4" w14:textId="77777777" w:rsidR="0053434F" w:rsidRPr="005A3C94" w:rsidRDefault="0053434F" w:rsidP="0053434F">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566879DC" w14:textId="77777777" w:rsidR="0053434F" w:rsidRPr="005A3C94" w:rsidRDefault="0053434F" w:rsidP="0053434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220" w:type="dxa"/>
            <w:tcBorders>
              <w:top w:val="nil"/>
              <w:left w:val="nil"/>
              <w:bottom w:val="single" w:sz="4" w:space="0" w:color="auto"/>
              <w:right w:val="single" w:sz="4" w:space="0" w:color="auto"/>
            </w:tcBorders>
            <w:shd w:val="clear" w:color="auto" w:fill="auto"/>
            <w:vAlign w:val="center"/>
            <w:hideMark/>
          </w:tcPr>
          <w:p w14:paraId="0117D66D"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0,101</w:t>
            </w:r>
          </w:p>
        </w:tc>
        <w:tc>
          <w:tcPr>
            <w:tcW w:w="1275" w:type="dxa"/>
            <w:tcBorders>
              <w:top w:val="nil"/>
              <w:left w:val="nil"/>
              <w:bottom w:val="single" w:sz="4" w:space="0" w:color="auto"/>
              <w:right w:val="single" w:sz="4" w:space="0" w:color="auto"/>
            </w:tcBorders>
            <w:shd w:val="clear" w:color="auto" w:fill="auto"/>
            <w:vAlign w:val="center"/>
            <w:hideMark/>
          </w:tcPr>
          <w:p w14:paraId="0A89BD7C"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-0,185</w:t>
            </w:r>
          </w:p>
        </w:tc>
        <w:tc>
          <w:tcPr>
            <w:tcW w:w="991" w:type="dxa"/>
            <w:tcBorders>
              <w:top w:val="nil"/>
              <w:left w:val="nil"/>
              <w:bottom w:val="single" w:sz="4" w:space="0" w:color="auto"/>
              <w:right w:val="single" w:sz="4" w:space="0" w:color="auto"/>
            </w:tcBorders>
            <w:shd w:val="clear" w:color="auto" w:fill="auto"/>
            <w:vAlign w:val="center"/>
            <w:hideMark/>
          </w:tcPr>
          <w:p w14:paraId="61370621"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0,043</w:t>
            </w:r>
          </w:p>
        </w:tc>
        <w:tc>
          <w:tcPr>
            <w:tcW w:w="1101" w:type="dxa"/>
            <w:tcBorders>
              <w:top w:val="nil"/>
              <w:left w:val="nil"/>
              <w:bottom w:val="single" w:sz="4" w:space="0" w:color="auto"/>
              <w:right w:val="single" w:sz="4" w:space="0" w:color="auto"/>
            </w:tcBorders>
            <w:shd w:val="clear" w:color="auto" w:fill="auto"/>
            <w:vAlign w:val="center"/>
            <w:hideMark/>
          </w:tcPr>
          <w:p w14:paraId="16F2FB4B"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-0,061</w:t>
            </w:r>
          </w:p>
        </w:tc>
      </w:tr>
      <w:tr w:rsidR="0053434F" w:rsidRPr="005A3C94" w14:paraId="19D6608E" w14:textId="77777777" w:rsidTr="0053434F">
        <w:trPr>
          <w:trHeight w:val="315"/>
          <w:jc w:val="center"/>
        </w:trPr>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2C96B922"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Optimális</w:t>
            </w:r>
          </w:p>
        </w:tc>
        <w:tc>
          <w:tcPr>
            <w:tcW w:w="1782" w:type="dxa"/>
            <w:tcBorders>
              <w:top w:val="nil"/>
              <w:left w:val="nil"/>
              <w:bottom w:val="single" w:sz="4" w:space="0" w:color="auto"/>
              <w:right w:val="single" w:sz="4" w:space="0" w:color="auto"/>
            </w:tcBorders>
            <w:shd w:val="clear" w:color="auto" w:fill="auto"/>
            <w:vAlign w:val="center"/>
            <w:hideMark/>
          </w:tcPr>
          <w:p w14:paraId="2D490DA5" w14:textId="77777777" w:rsidR="0053434F" w:rsidRPr="005A3C94" w:rsidRDefault="0053434F" w:rsidP="0053434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220" w:type="dxa"/>
            <w:tcBorders>
              <w:top w:val="nil"/>
              <w:left w:val="nil"/>
              <w:bottom w:val="single" w:sz="4" w:space="0" w:color="auto"/>
              <w:right w:val="single" w:sz="4" w:space="0" w:color="auto"/>
            </w:tcBorders>
            <w:shd w:val="clear" w:color="auto" w:fill="auto"/>
            <w:vAlign w:val="center"/>
            <w:hideMark/>
          </w:tcPr>
          <w:p w14:paraId="669D3793"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0,711</w:t>
            </w:r>
          </w:p>
        </w:tc>
        <w:tc>
          <w:tcPr>
            <w:tcW w:w="1275" w:type="dxa"/>
            <w:tcBorders>
              <w:top w:val="nil"/>
              <w:left w:val="nil"/>
              <w:bottom w:val="single" w:sz="4" w:space="0" w:color="auto"/>
              <w:right w:val="single" w:sz="4" w:space="0" w:color="auto"/>
            </w:tcBorders>
            <w:shd w:val="clear" w:color="auto" w:fill="auto"/>
            <w:vAlign w:val="center"/>
            <w:hideMark/>
          </w:tcPr>
          <w:p w14:paraId="3869EAEE"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0,612</w:t>
            </w:r>
          </w:p>
        </w:tc>
        <w:tc>
          <w:tcPr>
            <w:tcW w:w="991" w:type="dxa"/>
            <w:tcBorders>
              <w:top w:val="nil"/>
              <w:left w:val="nil"/>
              <w:bottom w:val="single" w:sz="4" w:space="0" w:color="auto"/>
              <w:right w:val="single" w:sz="4" w:space="0" w:color="auto"/>
            </w:tcBorders>
            <w:shd w:val="clear" w:color="auto" w:fill="auto"/>
            <w:vAlign w:val="center"/>
            <w:hideMark/>
          </w:tcPr>
          <w:p w14:paraId="52666ED9"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-0,242</w:t>
            </w:r>
          </w:p>
        </w:tc>
        <w:tc>
          <w:tcPr>
            <w:tcW w:w="1101" w:type="dxa"/>
            <w:tcBorders>
              <w:top w:val="nil"/>
              <w:left w:val="nil"/>
              <w:bottom w:val="single" w:sz="4" w:space="0" w:color="auto"/>
              <w:right w:val="single" w:sz="4" w:space="0" w:color="auto"/>
            </w:tcBorders>
            <w:shd w:val="clear" w:color="auto" w:fill="auto"/>
            <w:vAlign w:val="center"/>
            <w:hideMark/>
          </w:tcPr>
          <w:p w14:paraId="3EB75220"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0,396</w:t>
            </w:r>
          </w:p>
        </w:tc>
      </w:tr>
      <w:tr w:rsidR="0053434F" w:rsidRPr="005A3C94" w14:paraId="163D9F9F" w14:textId="77777777" w:rsidTr="0053434F">
        <w:trPr>
          <w:trHeight w:val="315"/>
          <w:jc w:val="center"/>
        </w:trPr>
        <w:tc>
          <w:tcPr>
            <w:tcW w:w="1217" w:type="dxa"/>
            <w:vMerge/>
            <w:tcBorders>
              <w:top w:val="nil"/>
              <w:left w:val="single" w:sz="4" w:space="0" w:color="auto"/>
              <w:bottom w:val="single" w:sz="4" w:space="0" w:color="auto"/>
              <w:right w:val="single" w:sz="4" w:space="0" w:color="auto"/>
            </w:tcBorders>
            <w:vAlign w:val="center"/>
            <w:hideMark/>
          </w:tcPr>
          <w:p w14:paraId="5042F3A3" w14:textId="77777777" w:rsidR="0053434F" w:rsidRPr="005A3C94" w:rsidRDefault="0053434F" w:rsidP="0053434F">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33899C11" w14:textId="77777777" w:rsidR="0053434F" w:rsidRPr="005A3C94" w:rsidRDefault="0053434F" w:rsidP="0053434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220" w:type="dxa"/>
            <w:tcBorders>
              <w:top w:val="nil"/>
              <w:left w:val="nil"/>
              <w:bottom w:val="single" w:sz="4" w:space="0" w:color="auto"/>
              <w:right w:val="single" w:sz="4" w:space="0" w:color="auto"/>
            </w:tcBorders>
            <w:shd w:val="clear" w:color="auto" w:fill="auto"/>
            <w:vAlign w:val="center"/>
            <w:hideMark/>
          </w:tcPr>
          <w:p w14:paraId="41350893"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-0,437</w:t>
            </w:r>
          </w:p>
        </w:tc>
        <w:tc>
          <w:tcPr>
            <w:tcW w:w="1275" w:type="dxa"/>
            <w:tcBorders>
              <w:top w:val="nil"/>
              <w:left w:val="nil"/>
              <w:bottom w:val="single" w:sz="4" w:space="0" w:color="auto"/>
              <w:right w:val="single" w:sz="4" w:space="0" w:color="auto"/>
            </w:tcBorders>
            <w:shd w:val="clear" w:color="auto" w:fill="auto"/>
            <w:vAlign w:val="center"/>
            <w:hideMark/>
          </w:tcPr>
          <w:p w14:paraId="2A96C56C"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0,435</w:t>
            </w:r>
          </w:p>
        </w:tc>
        <w:tc>
          <w:tcPr>
            <w:tcW w:w="991" w:type="dxa"/>
            <w:tcBorders>
              <w:top w:val="nil"/>
              <w:left w:val="nil"/>
              <w:bottom w:val="single" w:sz="4" w:space="0" w:color="auto"/>
              <w:right w:val="single" w:sz="4" w:space="0" w:color="auto"/>
            </w:tcBorders>
            <w:shd w:val="clear" w:color="auto" w:fill="auto"/>
            <w:vAlign w:val="center"/>
            <w:hideMark/>
          </w:tcPr>
          <w:p w14:paraId="752087CA"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1,225</w:t>
            </w:r>
          </w:p>
        </w:tc>
        <w:tc>
          <w:tcPr>
            <w:tcW w:w="1101" w:type="dxa"/>
            <w:tcBorders>
              <w:top w:val="nil"/>
              <w:left w:val="nil"/>
              <w:bottom w:val="single" w:sz="4" w:space="0" w:color="auto"/>
              <w:right w:val="single" w:sz="4" w:space="0" w:color="auto"/>
            </w:tcBorders>
            <w:shd w:val="clear" w:color="auto" w:fill="auto"/>
            <w:vAlign w:val="center"/>
            <w:hideMark/>
          </w:tcPr>
          <w:p w14:paraId="7C063C20"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0,691</w:t>
            </w:r>
          </w:p>
        </w:tc>
      </w:tr>
      <w:tr w:rsidR="0053434F" w:rsidRPr="005A3C94" w14:paraId="09975E29" w14:textId="77777777" w:rsidTr="0053434F">
        <w:trPr>
          <w:trHeight w:val="315"/>
          <w:jc w:val="center"/>
        </w:trPr>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55216450"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Total</w:t>
            </w:r>
          </w:p>
        </w:tc>
        <w:tc>
          <w:tcPr>
            <w:tcW w:w="1782" w:type="dxa"/>
            <w:tcBorders>
              <w:top w:val="nil"/>
              <w:left w:val="nil"/>
              <w:bottom w:val="single" w:sz="4" w:space="0" w:color="auto"/>
              <w:right w:val="single" w:sz="4" w:space="0" w:color="auto"/>
            </w:tcBorders>
            <w:shd w:val="clear" w:color="auto" w:fill="auto"/>
            <w:vAlign w:val="center"/>
            <w:hideMark/>
          </w:tcPr>
          <w:p w14:paraId="7D122AD3" w14:textId="77777777" w:rsidR="0053434F" w:rsidRPr="005A3C94" w:rsidRDefault="0053434F" w:rsidP="0053434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220" w:type="dxa"/>
            <w:tcBorders>
              <w:top w:val="nil"/>
              <w:left w:val="nil"/>
              <w:bottom w:val="single" w:sz="4" w:space="0" w:color="auto"/>
              <w:right w:val="single" w:sz="4" w:space="0" w:color="auto"/>
            </w:tcBorders>
            <w:shd w:val="clear" w:color="auto" w:fill="auto"/>
            <w:vAlign w:val="center"/>
            <w:hideMark/>
          </w:tcPr>
          <w:p w14:paraId="3D01D1B8"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0,085</w:t>
            </w:r>
          </w:p>
        </w:tc>
        <w:tc>
          <w:tcPr>
            <w:tcW w:w="1275" w:type="dxa"/>
            <w:tcBorders>
              <w:top w:val="nil"/>
              <w:left w:val="nil"/>
              <w:bottom w:val="single" w:sz="4" w:space="0" w:color="auto"/>
              <w:right w:val="single" w:sz="4" w:space="0" w:color="auto"/>
            </w:tcBorders>
            <w:shd w:val="clear" w:color="auto" w:fill="auto"/>
            <w:vAlign w:val="center"/>
            <w:hideMark/>
          </w:tcPr>
          <w:p w14:paraId="09D75D6F"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0,242</w:t>
            </w:r>
          </w:p>
        </w:tc>
        <w:tc>
          <w:tcPr>
            <w:tcW w:w="991" w:type="dxa"/>
            <w:tcBorders>
              <w:top w:val="nil"/>
              <w:left w:val="nil"/>
              <w:bottom w:val="single" w:sz="4" w:space="0" w:color="auto"/>
              <w:right w:val="single" w:sz="4" w:space="0" w:color="auto"/>
            </w:tcBorders>
            <w:shd w:val="clear" w:color="auto" w:fill="auto"/>
            <w:vAlign w:val="center"/>
            <w:hideMark/>
          </w:tcPr>
          <w:p w14:paraId="262819C8"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0,04</w:t>
            </w:r>
          </w:p>
        </w:tc>
        <w:tc>
          <w:tcPr>
            <w:tcW w:w="1101" w:type="dxa"/>
            <w:tcBorders>
              <w:top w:val="nil"/>
              <w:left w:val="nil"/>
              <w:bottom w:val="single" w:sz="4" w:space="0" w:color="auto"/>
              <w:right w:val="single" w:sz="4" w:space="0" w:color="auto"/>
            </w:tcBorders>
            <w:shd w:val="clear" w:color="auto" w:fill="auto"/>
            <w:vAlign w:val="center"/>
            <w:hideMark/>
          </w:tcPr>
          <w:p w14:paraId="6B71D8CF"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0,073</w:t>
            </w:r>
          </w:p>
        </w:tc>
      </w:tr>
      <w:tr w:rsidR="0053434F" w:rsidRPr="005A3C94" w14:paraId="4731133B" w14:textId="77777777" w:rsidTr="0053434F">
        <w:trPr>
          <w:trHeight w:val="315"/>
          <w:jc w:val="center"/>
        </w:trPr>
        <w:tc>
          <w:tcPr>
            <w:tcW w:w="1217" w:type="dxa"/>
            <w:vMerge/>
            <w:tcBorders>
              <w:top w:val="nil"/>
              <w:left w:val="single" w:sz="4" w:space="0" w:color="auto"/>
              <w:bottom w:val="single" w:sz="4" w:space="0" w:color="auto"/>
              <w:right w:val="single" w:sz="4" w:space="0" w:color="auto"/>
            </w:tcBorders>
            <w:vAlign w:val="center"/>
            <w:hideMark/>
          </w:tcPr>
          <w:p w14:paraId="0F04002C" w14:textId="77777777" w:rsidR="0053434F" w:rsidRPr="005A3C94" w:rsidRDefault="0053434F" w:rsidP="0053434F">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27875115" w14:textId="77777777" w:rsidR="0053434F" w:rsidRPr="005A3C94" w:rsidRDefault="0053434F" w:rsidP="0053434F">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220" w:type="dxa"/>
            <w:tcBorders>
              <w:top w:val="nil"/>
              <w:left w:val="nil"/>
              <w:bottom w:val="single" w:sz="4" w:space="0" w:color="auto"/>
              <w:right w:val="single" w:sz="4" w:space="0" w:color="auto"/>
            </w:tcBorders>
            <w:shd w:val="clear" w:color="auto" w:fill="auto"/>
            <w:vAlign w:val="center"/>
            <w:hideMark/>
          </w:tcPr>
          <w:p w14:paraId="0D3E55D8"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-0,085</w:t>
            </w:r>
          </w:p>
        </w:tc>
        <w:tc>
          <w:tcPr>
            <w:tcW w:w="1275" w:type="dxa"/>
            <w:tcBorders>
              <w:top w:val="nil"/>
              <w:left w:val="nil"/>
              <w:bottom w:val="single" w:sz="4" w:space="0" w:color="auto"/>
              <w:right w:val="single" w:sz="4" w:space="0" w:color="auto"/>
            </w:tcBorders>
            <w:shd w:val="clear" w:color="auto" w:fill="auto"/>
            <w:vAlign w:val="center"/>
            <w:hideMark/>
          </w:tcPr>
          <w:p w14:paraId="2B6FF053"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-0,242</w:t>
            </w:r>
          </w:p>
        </w:tc>
        <w:tc>
          <w:tcPr>
            <w:tcW w:w="991" w:type="dxa"/>
            <w:tcBorders>
              <w:top w:val="nil"/>
              <w:left w:val="nil"/>
              <w:bottom w:val="single" w:sz="4" w:space="0" w:color="auto"/>
              <w:right w:val="single" w:sz="4" w:space="0" w:color="auto"/>
            </w:tcBorders>
            <w:shd w:val="clear" w:color="auto" w:fill="auto"/>
            <w:vAlign w:val="center"/>
            <w:hideMark/>
          </w:tcPr>
          <w:p w14:paraId="0063641E"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-0,02</w:t>
            </w:r>
          </w:p>
        </w:tc>
        <w:tc>
          <w:tcPr>
            <w:tcW w:w="1101" w:type="dxa"/>
            <w:tcBorders>
              <w:top w:val="nil"/>
              <w:left w:val="nil"/>
              <w:bottom w:val="single" w:sz="4" w:space="0" w:color="auto"/>
              <w:right w:val="single" w:sz="4" w:space="0" w:color="auto"/>
            </w:tcBorders>
            <w:shd w:val="clear" w:color="auto" w:fill="auto"/>
            <w:vAlign w:val="center"/>
            <w:hideMark/>
          </w:tcPr>
          <w:p w14:paraId="00047CB6" w14:textId="77777777" w:rsidR="0053434F" w:rsidRPr="005A3C94" w:rsidRDefault="0053434F" w:rsidP="0053434F">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-0,062</w:t>
            </w:r>
          </w:p>
        </w:tc>
      </w:tr>
    </w:tbl>
    <w:p w14:paraId="2F772ED3" w14:textId="37BDE38A" w:rsidR="001E5568" w:rsidRPr="005A3C94" w:rsidRDefault="001E5568" w:rsidP="008C67DC">
      <w:pPr>
        <w:spacing w:line="276" w:lineRule="auto"/>
        <w:jc w:val="both"/>
        <w:rPr>
          <w:rFonts w:ascii="Times New Roman" w:hAnsi="Times New Roman" w:cs="Times New Roman"/>
          <w:sz w:val="20"/>
          <w:szCs w:val="24"/>
        </w:rPr>
      </w:pPr>
      <w:r w:rsidRPr="005A3C94">
        <w:rPr>
          <w:rFonts w:ascii="Times New Roman" w:hAnsi="Times New Roman" w:cs="Times New Roman"/>
          <w:sz w:val="20"/>
          <w:szCs w:val="24"/>
        </w:rPr>
        <w:t>*:</w:t>
      </w:r>
      <w:r w:rsidR="004A58D5" w:rsidRPr="005A3C94">
        <w:rPr>
          <w:rFonts w:ascii="Times New Roman" w:hAnsi="Times New Roman" w:cs="Times New Roman"/>
          <w:sz w:val="20"/>
          <w:szCs w:val="24"/>
        </w:rPr>
        <w:t xml:space="preserve"> </w:t>
      </w:r>
      <w:r w:rsidRPr="005A3C94">
        <w:rPr>
          <w:rFonts w:ascii="Times New Roman" w:hAnsi="Times New Roman" w:cs="Times New Roman"/>
          <w:sz w:val="20"/>
          <w:szCs w:val="24"/>
        </w:rPr>
        <w:t>rendkívül</w:t>
      </w:r>
      <w:r w:rsidR="00AA309B" w:rsidRPr="005A3C94">
        <w:rPr>
          <w:rFonts w:ascii="Times New Roman" w:hAnsi="Times New Roman" w:cs="Times New Roman"/>
          <w:sz w:val="20"/>
          <w:szCs w:val="24"/>
        </w:rPr>
        <w:t xml:space="preserve"> alacsony elemszám, cellánként 2</w:t>
      </w:r>
      <w:r w:rsidR="004A58D5" w:rsidRPr="005A3C94">
        <w:rPr>
          <w:rFonts w:ascii="Times New Roman" w:hAnsi="Times New Roman" w:cs="Times New Roman"/>
          <w:sz w:val="20"/>
          <w:szCs w:val="24"/>
        </w:rPr>
        <w:t xml:space="preserve"> válaszadó</w:t>
      </w:r>
    </w:p>
    <w:p w14:paraId="195E0B26" w14:textId="4E1147F2" w:rsidR="0053434F" w:rsidRPr="005A3C94" w:rsidRDefault="00DF1D13" w:rsidP="0053434F">
      <w:pPr>
        <w:pStyle w:val="Kpalrs"/>
        <w:keepNext/>
      </w:pPr>
      <w:r>
        <w:fldChar w:fldCharType="begin"/>
      </w:r>
      <w:r>
        <w:instrText xml:space="preserve"> SEQ táblázat \* ARABIC </w:instrText>
      </w:r>
      <w:r>
        <w:fldChar w:fldCharType="separate"/>
      </w:r>
      <w:r w:rsidR="00DC5809">
        <w:rPr>
          <w:noProof/>
        </w:rPr>
        <w:t>12</w:t>
      </w:r>
      <w:r>
        <w:rPr>
          <w:noProof/>
        </w:rPr>
        <w:fldChar w:fldCharType="end"/>
      </w:r>
      <w:r w:rsidR="0053434F" w:rsidRPr="005A3C94">
        <w:t xml:space="preserve">. táblázat: Az olvasási kiépültség szerinti átlagos standardizált pozitív válaszok száma a szociális készségekre adott válaszok alapján </w:t>
      </w:r>
      <w:r w:rsidR="0053434F" w:rsidRPr="009E4F2E">
        <w:rPr>
          <w:u w:val="single"/>
        </w:rPr>
        <w:t>kimenetkor</w:t>
      </w:r>
    </w:p>
    <w:tbl>
      <w:tblPr>
        <w:tblW w:w="7550" w:type="dxa"/>
        <w:jc w:val="center"/>
        <w:tblCellMar>
          <w:left w:w="70" w:type="dxa"/>
          <w:right w:w="70" w:type="dxa"/>
        </w:tblCellMar>
        <w:tblLook w:val="04A0" w:firstRow="1" w:lastRow="0" w:firstColumn="1" w:lastColumn="0" w:noHBand="0" w:noVBand="1"/>
      </w:tblPr>
      <w:tblGrid>
        <w:gridCol w:w="1202"/>
        <w:gridCol w:w="1782"/>
        <w:gridCol w:w="1176"/>
        <w:gridCol w:w="1175"/>
        <w:gridCol w:w="1024"/>
        <w:gridCol w:w="1191"/>
      </w:tblGrid>
      <w:tr w:rsidR="004A58D5" w:rsidRPr="005A3C94" w14:paraId="15D98E7F" w14:textId="77777777" w:rsidTr="004A58D5">
        <w:trPr>
          <w:trHeight w:val="630"/>
          <w:jc w:val="center"/>
        </w:trPr>
        <w:tc>
          <w:tcPr>
            <w:tcW w:w="12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F0E2D" w14:textId="77777777" w:rsidR="004A58D5" w:rsidRPr="005A3C94" w:rsidRDefault="004A58D5" w:rsidP="004A58D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 </w:t>
            </w:r>
          </w:p>
        </w:tc>
        <w:tc>
          <w:tcPr>
            <w:tcW w:w="1782" w:type="dxa"/>
            <w:tcBorders>
              <w:top w:val="single" w:sz="4" w:space="0" w:color="auto"/>
              <w:left w:val="nil"/>
              <w:bottom w:val="single" w:sz="4" w:space="0" w:color="auto"/>
              <w:right w:val="single" w:sz="4" w:space="0" w:color="auto"/>
            </w:tcBorders>
            <w:shd w:val="clear" w:color="000000" w:fill="FFFFFF"/>
            <w:vAlign w:val="center"/>
            <w:hideMark/>
          </w:tcPr>
          <w:p w14:paraId="430FAD23"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Kontroll/kísérleti</w:t>
            </w:r>
          </w:p>
        </w:tc>
        <w:tc>
          <w:tcPr>
            <w:tcW w:w="1176" w:type="dxa"/>
            <w:tcBorders>
              <w:top w:val="single" w:sz="4" w:space="0" w:color="auto"/>
              <w:left w:val="nil"/>
              <w:bottom w:val="single" w:sz="4" w:space="0" w:color="auto"/>
              <w:right w:val="single" w:sz="4" w:space="0" w:color="auto"/>
            </w:tcBorders>
            <w:shd w:val="clear" w:color="000000" w:fill="FFFFFF"/>
            <w:vAlign w:val="center"/>
            <w:hideMark/>
          </w:tcPr>
          <w:p w14:paraId="4B71FAEB"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Énkép</w:t>
            </w:r>
          </w:p>
        </w:tc>
        <w:tc>
          <w:tcPr>
            <w:tcW w:w="1175" w:type="dxa"/>
            <w:tcBorders>
              <w:top w:val="single" w:sz="4" w:space="0" w:color="auto"/>
              <w:left w:val="nil"/>
              <w:bottom w:val="single" w:sz="4" w:space="0" w:color="auto"/>
              <w:right w:val="single" w:sz="4" w:space="0" w:color="auto"/>
            </w:tcBorders>
            <w:shd w:val="clear" w:color="000000" w:fill="FFFFFF"/>
            <w:vAlign w:val="center"/>
            <w:hideMark/>
          </w:tcPr>
          <w:p w14:paraId="6EB3F617"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Szociális képesség</w:t>
            </w:r>
          </w:p>
        </w:tc>
        <w:tc>
          <w:tcPr>
            <w:tcW w:w="1024" w:type="dxa"/>
            <w:tcBorders>
              <w:top w:val="single" w:sz="4" w:space="0" w:color="auto"/>
              <w:left w:val="nil"/>
              <w:bottom w:val="single" w:sz="4" w:space="0" w:color="auto"/>
              <w:right w:val="single" w:sz="4" w:space="0" w:color="auto"/>
            </w:tcBorders>
            <w:shd w:val="clear" w:color="000000" w:fill="FFFFFF"/>
            <w:vAlign w:val="center"/>
            <w:hideMark/>
          </w:tcPr>
          <w:p w14:paraId="08F4BFB4"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Empátia</w:t>
            </w:r>
          </w:p>
        </w:tc>
        <w:tc>
          <w:tcPr>
            <w:tcW w:w="1191" w:type="dxa"/>
            <w:tcBorders>
              <w:top w:val="single" w:sz="4" w:space="0" w:color="auto"/>
              <w:left w:val="nil"/>
              <w:bottom w:val="single" w:sz="4" w:space="0" w:color="auto"/>
              <w:right w:val="single" w:sz="4" w:space="0" w:color="auto"/>
            </w:tcBorders>
            <w:shd w:val="clear" w:color="000000" w:fill="FFFFFF"/>
            <w:vAlign w:val="center"/>
            <w:hideMark/>
          </w:tcPr>
          <w:p w14:paraId="306B0CDF"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Tanulási motiváció</w:t>
            </w:r>
          </w:p>
        </w:tc>
      </w:tr>
      <w:tr w:rsidR="004A58D5" w:rsidRPr="005A3C94" w14:paraId="2AF9FAE9" w14:textId="77777777" w:rsidTr="004A58D5">
        <w:trPr>
          <w:trHeight w:val="315"/>
          <w:jc w:val="center"/>
        </w:trPr>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3C5C8D"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Haladó</w:t>
            </w:r>
          </w:p>
        </w:tc>
        <w:tc>
          <w:tcPr>
            <w:tcW w:w="1782" w:type="dxa"/>
            <w:tcBorders>
              <w:top w:val="nil"/>
              <w:left w:val="nil"/>
              <w:bottom w:val="single" w:sz="4" w:space="0" w:color="auto"/>
              <w:right w:val="single" w:sz="4" w:space="0" w:color="auto"/>
            </w:tcBorders>
            <w:shd w:val="clear" w:color="000000" w:fill="FFFFFF"/>
            <w:vAlign w:val="center"/>
            <w:hideMark/>
          </w:tcPr>
          <w:p w14:paraId="64B772D3" w14:textId="77777777" w:rsidR="004A58D5" w:rsidRPr="005A3C94" w:rsidRDefault="004A58D5" w:rsidP="004A58D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176" w:type="dxa"/>
            <w:tcBorders>
              <w:top w:val="nil"/>
              <w:left w:val="nil"/>
              <w:bottom w:val="single" w:sz="4" w:space="0" w:color="auto"/>
              <w:right w:val="single" w:sz="4" w:space="0" w:color="auto"/>
            </w:tcBorders>
            <w:shd w:val="clear" w:color="000000" w:fill="E9ABAB"/>
            <w:vAlign w:val="center"/>
            <w:hideMark/>
          </w:tcPr>
          <w:p w14:paraId="6CBCEE2E"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-0,878</w:t>
            </w:r>
          </w:p>
        </w:tc>
        <w:tc>
          <w:tcPr>
            <w:tcW w:w="1175" w:type="dxa"/>
            <w:tcBorders>
              <w:top w:val="nil"/>
              <w:left w:val="nil"/>
              <w:bottom w:val="single" w:sz="4" w:space="0" w:color="auto"/>
              <w:right w:val="single" w:sz="4" w:space="0" w:color="auto"/>
            </w:tcBorders>
            <w:shd w:val="clear" w:color="000000" w:fill="E9ABAB"/>
            <w:vAlign w:val="center"/>
            <w:hideMark/>
          </w:tcPr>
          <w:p w14:paraId="270A3946"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0,081</w:t>
            </w:r>
          </w:p>
        </w:tc>
        <w:tc>
          <w:tcPr>
            <w:tcW w:w="1024" w:type="dxa"/>
            <w:tcBorders>
              <w:top w:val="nil"/>
              <w:left w:val="nil"/>
              <w:bottom w:val="single" w:sz="4" w:space="0" w:color="auto"/>
              <w:right w:val="single" w:sz="4" w:space="0" w:color="auto"/>
            </w:tcBorders>
            <w:shd w:val="clear" w:color="000000" w:fill="C5E0B3"/>
            <w:vAlign w:val="center"/>
            <w:hideMark/>
          </w:tcPr>
          <w:p w14:paraId="4E43EEE5"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1,314</w:t>
            </w:r>
          </w:p>
        </w:tc>
        <w:tc>
          <w:tcPr>
            <w:tcW w:w="1191" w:type="dxa"/>
            <w:tcBorders>
              <w:top w:val="nil"/>
              <w:left w:val="nil"/>
              <w:bottom w:val="single" w:sz="4" w:space="0" w:color="auto"/>
              <w:right w:val="single" w:sz="4" w:space="0" w:color="auto"/>
            </w:tcBorders>
            <w:shd w:val="clear" w:color="000000" w:fill="C5E0B3"/>
            <w:vAlign w:val="center"/>
            <w:hideMark/>
          </w:tcPr>
          <w:p w14:paraId="1F30B770"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1,143</w:t>
            </w:r>
          </w:p>
        </w:tc>
      </w:tr>
      <w:tr w:rsidR="004A58D5" w:rsidRPr="005A3C94" w14:paraId="7BC73001" w14:textId="77777777" w:rsidTr="004A58D5">
        <w:trPr>
          <w:trHeight w:val="315"/>
          <w:jc w:val="center"/>
        </w:trPr>
        <w:tc>
          <w:tcPr>
            <w:tcW w:w="1202" w:type="dxa"/>
            <w:vMerge/>
            <w:tcBorders>
              <w:top w:val="nil"/>
              <w:left w:val="single" w:sz="4" w:space="0" w:color="auto"/>
              <w:bottom w:val="single" w:sz="4" w:space="0" w:color="auto"/>
              <w:right w:val="single" w:sz="4" w:space="0" w:color="auto"/>
            </w:tcBorders>
            <w:vAlign w:val="center"/>
            <w:hideMark/>
          </w:tcPr>
          <w:p w14:paraId="531B9176" w14:textId="77777777" w:rsidR="004A58D5" w:rsidRPr="005A3C94" w:rsidRDefault="004A58D5" w:rsidP="004A58D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63A84D62" w14:textId="77777777" w:rsidR="004A58D5" w:rsidRPr="005A3C94" w:rsidRDefault="004A58D5" w:rsidP="004A58D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176" w:type="dxa"/>
            <w:tcBorders>
              <w:top w:val="nil"/>
              <w:left w:val="nil"/>
              <w:bottom w:val="single" w:sz="4" w:space="0" w:color="auto"/>
              <w:right w:val="single" w:sz="4" w:space="0" w:color="auto"/>
            </w:tcBorders>
            <w:shd w:val="clear" w:color="000000" w:fill="C5E0B3"/>
            <w:vAlign w:val="center"/>
            <w:hideMark/>
          </w:tcPr>
          <w:p w14:paraId="4AAD898F"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0,112</w:t>
            </w:r>
          </w:p>
        </w:tc>
        <w:tc>
          <w:tcPr>
            <w:tcW w:w="1175" w:type="dxa"/>
            <w:tcBorders>
              <w:top w:val="nil"/>
              <w:left w:val="nil"/>
              <w:bottom w:val="single" w:sz="4" w:space="0" w:color="auto"/>
              <w:right w:val="single" w:sz="4" w:space="0" w:color="auto"/>
            </w:tcBorders>
            <w:shd w:val="clear" w:color="000000" w:fill="C5E0B3"/>
            <w:vAlign w:val="center"/>
            <w:hideMark/>
          </w:tcPr>
          <w:p w14:paraId="7E830E6F"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0,317</w:t>
            </w:r>
          </w:p>
        </w:tc>
        <w:tc>
          <w:tcPr>
            <w:tcW w:w="1024" w:type="dxa"/>
            <w:tcBorders>
              <w:top w:val="nil"/>
              <w:left w:val="nil"/>
              <w:bottom w:val="single" w:sz="4" w:space="0" w:color="auto"/>
              <w:right w:val="single" w:sz="4" w:space="0" w:color="auto"/>
            </w:tcBorders>
            <w:shd w:val="clear" w:color="000000" w:fill="C5E0B3"/>
            <w:vAlign w:val="center"/>
            <w:hideMark/>
          </w:tcPr>
          <w:p w14:paraId="04CDB037"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-0,015</w:t>
            </w:r>
          </w:p>
        </w:tc>
        <w:tc>
          <w:tcPr>
            <w:tcW w:w="1191" w:type="dxa"/>
            <w:tcBorders>
              <w:top w:val="nil"/>
              <w:left w:val="nil"/>
              <w:bottom w:val="single" w:sz="4" w:space="0" w:color="auto"/>
              <w:right w:val="single" w:sz="4" w:space="0" w:color="auto"/>
            </w:tcBorders>
            <w:shd w:val="clear" w:color="000000" w:fill="C5E0B3"/>
            <w:vAlign w:val="center"/>
            <w:hideMark/>
          </w:tcPr>
          <w:p w14:paraId="61EDD311"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0,229</w:t>
            </w:r>
          </w:p>
        </w:tc>
      </w:tr>
      <w:tr w:rsidR="004A58D5" w:rsidRPr="005A3C94" w14:paraId="4A4730BB" w14:textId="77777777" w:rsidTr="004A58D5">
        <w:trPr>
          <w:trHeight w:val="315"/>
          <w:jc w:val="center"/>
        </w:trPr>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8987BB"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Befejező</w:t>
            </w:r>
          </w:p>
        </w:tc>
        <w:tc>
          <w:tcPr>
            <w:tcW w:w="1782" w:type="dxa"/>
            <w:tcBorders>
              <w:top w:val="nil"/>
              <w:left w:val="nil"/>
              <w:bottom w:val="single" w:sz="4" w:space="0" w:color="auto"/>
              <w:right w:val="single" w:sz="4" w:space="0" w:color="auto"/>
            </w:tcBorders>
            <w:shd w:val="clear" w:color="000000" w:fill="FFFFFF"/>
            <w:vAlign w:val="center"/>
            <w:hideMark/>
          </w:tcPr>
          <w:p w14:paraId="6E28E407" w14:textId="77777777" w:rsidR="004A58D5" w:rsidRPr="005A3C94" w:rsidRDefault="004A58D5" w:rsidP="004A58D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176" w:type="dxa"/>
            <w:tcBorders>
              <w:top w:val="nil"/>
              <w:left w:val="nil"/>
              <w:bottom w:val="single" w:sz="4" w:space="0" w:color="auto"/>
              <w:right w:val="single" w:sz="4" w:space="0" w:color="auto"/>
            </w:tcBorders>
            <w:shd w:val="clear" w:color="000000" w:fill="E9ABAB"/>
            <w:vAlign w:val="center"/>
            <w:hideMark/>
          </w:tcPr>
          <w:p w14:paraId="31C0CB3E"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0,02</w:t>
            </w:r>
          </w:p>
        </w:tc>
        <w:tc>
          <w:tcPr>
            <w:tcW w:w="1175" w:type="dxa"/>
            <w:tcBorders>
              <w:top w:val="nil"/>
              <w:left w:val="nil"/>
              <w:bottom w:val="single" w:sz="4" w:space="0" w:color="auto"/>
              <w:right w:val="single" w:sz="4" w:space="0" w:color="auto"/>
            </w:tcBorders>
            <w:shd w:val="clear" w:color="000000" w:fill="C5E0B3"/>
            <w:vAlign w:val="center"/>
            <w:hideMark/>
          </w:tcPr>
          <w:p w14:paraId="4C41D62D"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0,272</w:t>
            </w:r>
          </w:p>
        </w:tc>
        <w:tc>
          <w:tcPr>
            <w:tcW w:w="1024" w:type="dxa"/>
            <w:tcBorders>
              <w:top w:val="nil"/>
              <w:left w:val="nil"/>
              <w:bottom w:val="single" w:sz="4" w:space="0" w:color="auto"/>
              <w:right w:val="single" w:sz="4" w:space="0" w:color="auto"/>
            </w:tcBorders>
            <w:shd w:val="clear" w:color="000000" w:fill="C5E0B3"/>
            <w:vAlign w:val="center"/>
            <w:hideMark/>
          </w:tcPr>
          <w:p w14:paraId="14C24F39"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0,129</w:t>
            </w:r>
          </w:p>
        </w:tc>
        <w:tc>
          <w:tcPr>
            <w:tcW w:w="1191" w:type="dxa"/>
            <w:tcBorders>
              <w:top w:val="nil"/>
              <w:left w:val="nil"/>
              <w:bottom w:val="single" w:sz="4" w:space="0" w:color="auto"/>
              <w:right w:val="single" w:sz="4" w:space="0" w:color="auto"/>
            </w:tcBorders>
            <w:shd w:val="clear" w:color="000000" w:fill="C5E0B3"/>
            <w:vAlign w:val="center"/>
            <w:hideMark/>
          </w:tcPr>
          <w:p w14:paraId="7D65ED22"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0,12</w:t>
            </w:r>
          </w:p>
        </w:tc>
      </w:tr>
      <w:tr w:rsidR="004A58D5" w:rsidRPr="005A3C94" w14:paraId="3565A1E7" w14:textId="77777777" w:rsidTr="004A58D5">
        <w:trPr>
          <w:trHeight w:val="315"/>
          <w:jc w:val="center"/>
        </w:trPr>
        <w:tc>
          <w:tcPr>
            <w:tcW w:w="1202" w:type="dxa"/>
            <w:vMerge/>
            <w:tcBorders>
              <w:top w:val="nil"/>
              <w:left w:val="single" w:sz="4" w:space="0" w:color="auto"/>
              <w:bottom w:val="single" w:sz="4" w:space="0" w:color="auto"/>
              <w:right w:val="single" w:sz="4" w:space="0" w:color="auto"/>
            </w:tcBorders>
            <w:vAlign w:val="center"/>
            <w:hideMark/>
          </w:tcPr>
          <w:p w14:paraId="282547AF" w14:textId="77777777" w:rsidR="004A58D5" w:rsidRPr="005A3C94" w:rsidRDefault="004A58D5" w:rsidP="004A58D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393BBE92" w14:textId="77777777" w:rsidR="004A58D5" w:rsidRPr="005A3C94" w:rsidRDefault="004A58D5" w:rsidP="004A58D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176" w:type="dxa"/>
            <w:tcBorders>
              <w:top w:val="nil"/>
              <w:left w:val="nil"/>
              <w:bottom w:val="single" w:sz="4" w:space="0" w:color="auto"/>
              <w:right w:val="single" w:sz="4" w:space="0" w:color="auto"/>
            </w:tcBorders>
            <w:shd w:val="clear" w:color="000000" w:fill="FFFFFF"/>
            <w:vAlign w:val="center"/>
            <w:hideMark/>
          </w:tcPr>
          <w:p w14:paraId="440AB125"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0,101</w:t>
            </w:r>
          </w:p>
        </w:tc>
        <w:tc>
          <w:tcPr>
            <w:tcW w:w="1175" w:type="dxa"/>
            <w:tcBorders>
              <w:top w:val="nil"/>
              <w:left w:val="nil"/>
              <w:bottom w:val="single" w:sz="4" w:space="0" w:color="auto"/>
              <w:right w:val="single" w:sz="4" w:space="0" w:color="auto"/>
            </w:tcBorders>
            <w:shd w:val="clear" w:color="000000" w:fill="FFFFFF"/>
            <w:vAlign w:val="center"/>
            <w:hideMark/>
          </w:tcPr>
          <w:p w14:paraId="693AA491"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-0,252</w:t>
            </w:r>
          </w:p>
        </w:tc>
        <w:tc>
          <w:tcPr>
            <w:tcW w:w="1024" w:type="dxa"/>
            <w:tcBorders>
              <w:top w:val="nil"/>
              <w:left w:val="nil"/>
              <w:bottom w:val="single" w:sz="4" w:space="0" w:color="auto"/>
              <w:right w:val="single" w:sz="4" w:space="0" w:color="auto"/>
            </w:tcBorders>
            <w:shd w:val="clear" w:color="000000" w:fill="C5E0B3"/>
            <w:vAlign w:val="center"/>
            <w:hideMark/>
          </w:tcPr>
          <w:p w14:paraId="09C83D80"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0,068</w:t>
            </w:r>
          </w:p>
        </w:tc>
        <w:tc>
          <w:tcPr>
            <w:tcW w:w="1191" w:type="dxa"/>
            <w:tcBorders>
              <w:top w:val="nil"/>
              <w:left w:val="nil"/>
              <w:bottom w:val="single" w:sz="4" w:space="0" w:color="auto"/>
              <w:right w:val="single" w:sz="4" w:space="0" w:color="auto"/>
            </w:tcBorders>
            <w:shd w:val="clear" w:color="000000" w:fill="FFFFFF"/>
            <w:vAlign w:val="center"/>
            <w:hideMark/>
          </w:tcPr>
          <w:p w14:paraId="61EBFD69"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-0,079</w:t>
            </w:r>
          </w:p>
        </w:tc>
      </w:tr>
      <w:tr w:rsidR="004A58D5" w:rsidRPr="005A3C94" w14:paraId="09FC2253" w14:textId="77777777" w:rsidTr="004A58D5">
        <w:trPr>
          <w:trHeight w:val="315"/>
          <w:jc w:val="center"/>
        </w:trPr>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00DEF5"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Optimális</w:t>
            </w:r>
          </w:p>
        </w:tc>
        <w:tc>
          <w:tcPr>
            <w:tcW w:w="1782" w:type="dxa"/>
            <w:tcBorders>
              <w:top w:val="nil"/>
              <w:left w:val="nil"/>
              <w:bottom w:val="single" w:sz="4" w:space="0" w:color="auto"/>
              <w:right w:val="single" w:sz="4" w:space="0" w:color="auto"/>
            </w:tcBorders>
            <w:shd w:val="clear" w:color="000000" w:fill="FFFFFF"/>
            <w:vAlign w:val="center"/>
            <w:hideMark/>
          </w:tcPr>
          <w:p w14:paraId="17760DC9" w14:textId="77777777" w:rsidR="004A58D5" w:rsidRPr="005A3C94" w:rsidRDefault="004A58D5" w:rsidP="004A58D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176" w:type="dxa"/>
            <w:tcBorders>
              <w:top w:val="nil"/>
              <w:left w:val="nil"/>
              <w:bottom w:val="single" w:sz="4" w:space="0" w:color="auto"/>
              <w:right w:val="single" w:sz="4" w:space="0" w:color="auto"/>
            </w:tcBorders>
            <w:shd w:val="clear" w:color="000000" w:fill="E9ABAB"/>
            <w:vAlign w:val="center"/>
            <w:hideMark/>
          </w:tcPr>
          <w:p w14:paraId="26FB9503"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-0,392</w:t>
            </w:r>
          </w:p>
        </w:tc>
        <w:tc>
          <w:tcPr>
            <w:tcW w:w="1175" w:type="dxa"/>
            <w:tcBorders>
              <w:top w:val="nil"/>
              <w:left w:val="nil"/>
              <w:bottom w:val="single" w:sz="4" w:space="0" w:color="auto"/>
              <w:right w:val="single" w:sz="4" w:space="0" w:color="auto"/>
            </w:tcBorders>
            <w:shd w:val="clear" w:color="000000" w:fill="E9ABAB"/>
            <w:vAlign w:val="center"/>
            <w:hideMark/>
          </w:tcPr>
          <w:p w14:paraId="1C906863"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0,081</w:t>
            </w:r>
          </w:p>
        </w:tc>
        <w:tc>
          <w:tcPr>
            <w:tcW w:w="1024" w:type="dxa"/>
            <w:tcBorders>
              <w:top w:val="nil"/>
              <w:left w:val="nil"/>
              <w:bottom w:val="single" w:sz="4" w:space="0" w:color="auto"/>
              <w:right w:val="single" w:sz="4" w:space="0" w:color="auto"/>
            </w:tcBorders>
            <w:shd w:val="clear" w:color="000000" w:fill="FFFFFF"/>
            <w:vAlign w:val="center"/>
            <w:hideMark/>
          </w:tcPr>
          <w:p w14:paraId="6B015EB3"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-0,28</w:t>
            </w:r>
          </w:p>
        </w:tc>
        <w:tc>
          <w:tcPr>
            <w:tcW w:w="1191" w:type="dxa"/>
            <w:tcBorders>
              <w:top w:val="nil"/>
              <w:left w:val="nil"/>
              <w:bottom w:val="single" w:sz="4" w:space="0" w:color="auto"/>
              <w:right w:val="single" w:sz="4" w:space="0" w:color="auto"/>
            </w:tcBorders>
            <w:shd w:val="clear" w:color="000000" w:fill="E9ABAB"/>
            <w:vAlign w:val="center"/>
            <w:hideMark/>
          </w:tcPr>
          <w:p w14:paraId="2E9AF6D5"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0,001</w:t>
            </w:r>
          </w:p>
        </w:tc>
      </w:tr>
      <w:tr w:rsidR="004A58D5" w:rsidRPr="005A3C94" w14:paraId="0D33B639" w14:textId="77777777" w:rsidTr="004A58D5">
        <w:trPr>
          <w:trHeight w:val="315"/>
          <w:jc w:val="center"/>
        </w:trPr>
        <w:tc>
          <w:tcPr>
            <w:tcW w:w="1202" w:type="dxa"/>
            <w:vMerge/>
            <w:tcBorders>
              <w:top w:val="nil"/>
              <w:left w:val="single" w:sz="4" w:space="0" w:color="auto"/>
              <w:bottom w:val="single" w:sz="4" w:space="0" w:color="auto"/>
              <w:right w:val="single" w:sz="4" w:space="0" w:color="auto"/>
            </w:tcBorders>
            <w:vAlign w:val="center"/>
            <w:hideMark/>
          </w:tcPr>
          <w:p w14:paraId="28BD6E92" w14:textId="77777777" w:rsidR="004A58D5" w:rsidRPr="005A3C94" w:rsidRDefault="004A58D5" w:rsidP="004A58D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06479529" w14:textId="77777777" w:rsidR="004A58D5" w:rsidRPr="005A3C94" w:rsidRDefault="004A58D5" w:rsidP="004A58D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176" w:type="dxa"/>
            <w:tcBorders>
              <w:top w:val="nil"/>
              <w:left w:val="nil"/>
              <w:bottom w:val="single" w:sz="4" w:space="0" w:color="auto"/>
              <w:right w:val="single" w:sz="4" w:space="0" w:color="auto"/>
            </w:tcBorders>
            <w:shd w:val="clear" w:color="000000" w:fill="C5E0B3"/>
            <w:vAlign w:val="center"/>
            <w:hideMark/>
          </w:tcPr>
          <w:p w14:paraId="0331E944"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-0,068</w:t>
            </w:r>
          </w:p>
        </w:tc>
        <w:tc>
          <w:tcPr>
            <w:tcW w:w="1175" w:type="dxa"/>
            <w:tcBorders>
              <w:top w:val="nil"/>
              <w:left w:val="nil"/>
              <w:bottom w:val="single" w:sz="4" w:space="0" w:color="auto"/>
              <w:right w:val="single" w:sz="4" w:space="0" w:color="auto"/>
            </w:tcBorders>
            <w:shd w:val="clear" w:color="000000" w:fill="E9ABAB"/>
            <w:vAlign w:val="center"/>
            <w:hideMark/>
          </w:tcPr>
          <w:p w14:paraId="2CCE7EFD"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-0,391</w:t>
            </w:r>
          </w:p>
        </w:tc>
        <w:tc>
          <w:tcPr>
            <w:tcW w:w="1024" w:type="dxa"/>
            <w:tcBorders>
              <w:top w:val="nil"/>
              <w:left w:val="nil"/>
              <w:bottom w:val="single" w:sz="4" w:space="0" w:color="auto"/>
              <w:right w:val="single" w:sz="4" w:space="0" w:color="auto"/>
            </w:tcBorders>
            <w:shd w:val="clear" w:color="000000" w:fill="E9ABAB"/>
            <w:vAlign w:val="center"/>
            <w:hideMark/>
          </w:tcPr>
          <w:p w14:paraId="08EA8CFA"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-0,457</w:t>
            </w:r>
          </w:p>
        </w:tc>
        <w:tc>
          <w:tcPr>
            <w:tcW w:w="1191" w:type="dxa"/>
            <w:tcBorders>
              <w:top w:val="nil"/>
              <w:left w:val="nil"/>
              <w:bottom w:val="single" w:sz="4" w:space="0" w:color="auto"/>
              <w:right w:val="single" w:sz="4" w:space="0" w:color="auto"/>
            </w:tcBorders>
            <w:shd w:val="clear" w:color="000000" w:fill="E9ABAB"/>
            <w:vAlign w:val="center"/>
            <w:hideMark/>
          </w:tcPr>
          <w:p w14:paraId="292F0DDE"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0,107</w:t>
            </w:r>
          </w:p>
        </w:tc>
      </w:tr>
      <w:tr w:rsidR="004A58D5" w:rsidRPr="005A3C94" w14:paraId="030083CE" w14:textId="77777777" w:rsidTr="004A58D5">
        <w:trPr>
          <w:trHeight w:val="315"/>
          <w:jc w:val="center"/>
        </w:trPr>
        <w:tc>
          <w:tcPr>
            <w:tcW w:w="12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E26181"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Total</w:t>
            </w:r>
          </w:p>
        </w:tc>
        <w:tc>
          <w:tcPr>
            <w:tcW w:w="1782" w:type="dxa"/>
            <w:tcBorders>
              <w:top w:val="nil"/>
              <w:left w:val="nil"/>
              <w:bottom w:val="single" w:sz="4" w:space="0" w:color="auto"/>
              <w:right w:val="single" w:sz="4" w:space="0" w:color="auto"/>
            </w:tcBorders>
            <w:shd w:val="clear" w:color="000000" w:fill="FFFFFF"/>
            <w:vAlign w:val="center"/>
            <w:hideMark/>
          </w:tcPr>
          <w:p w14:paraId="6EC35F90" w14:textId="77777777" w:rsidR="004A58D5" w:rsidRPr="005A3C94" w:rsidRDefault="004A58D5" w:rsidP="004A58D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176" w:type="dxa"/>
            <w:tcBorders>
              <w:top w:val="nil"/>
              <w:left w:val="nil"/>
              <w:bottom w:val="single" w:sz="4" w:space="0" w:color="auto"/>
              <w:right w:val="single" w:sz="4" w:space="0" w:color="auto"/>
            </w:tcBorders>
            <w:shd w:val="clear" w:color="000000" w:fill="E9ABAB"/>
            <w:vAlign w:val="center"/>
            <w:hideMark/>
          </w:tcPr>
          <w:p w14:paraId="5835FF03"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-0,068</w:t>
            </w:r>
          </w:p>
        </w:tc>
        <w:tc>
          <w:tcPr>
            <w:tcW w:w="1175" w:type="dxa"/>
            <w:tcBorders>
              <w:top w:val="nil"/>
              <w:left w:val="nil"/>
              <w:bottom w:val="single" w:sz="4" w:space="0" w:color="auto"/>
              <w:right w:val="single" w:sz="4" w:space="0" w:color="auto"/>
            </w:tcBorders>
            <w:shd w:val="clear" w:color="000000" w:fill="FFFFFF"/>
            <w:vAlign w:val="center"/>
            <w:hideMark/>
          </w:tcPr>
          <w:p w14:paraId="2A84FEEB"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0,242</w:t>
            </w:r>
          </w:p>
        </w:tc>
        <w:tc>
          <w:tcPr>
            <w:tcW w:w="1024" w:type="dxa"/>
            <w:tcBorders>
              <w:top w:val="nil"/>
              <w:left w:val="nil"/>
              <w:bottom w:val="single" w:sz="4" w:space="0" w:color="auto"/>
              <w:right w:val="single" w:sz="4" w:space="0" w:color="auto"/>
            </w:tcBorders>
            <w:shd w:val="clear" w:color="000000" w:fill="C5E0B3"/>
            <w:vAlign w:val="center"/>
            <w:hideMark/>
          </w:tcPr>
          <w:p w14:paraId="4B343544"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0,136</w:t>
            </w:r>
          </w:p>
        </w:tc>
        <w:tc>
          <w:tcPr>
            <w:tcW w:w="1191" w:type="dxa"/>
            <w:tcBorders>
              <w:top w:val="nil"/>
              <w:left w:val="nil"/>
              <w:bottom w:val="single" w:sz="4" w:space="0" w:color="auto"/>
              <w:right w:val="single" w:sz="4" w:space="0" w:color="auto"/>
            </w:tcBorders>
            <w:shd w:val="clear" w:color="000000" w:fill="C5E0B3"/>
            <w:vAlign w:val="center"/>
            <w:hideMark/>
          </w:tcPr>
          <w:p w14:paraId="2CEC5EE0"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0,154</w:t>
            </w:r>
          </w:p>
        </w:tc>
      </w:tr>
      <w:tr w:rsidR="004A58D5" w:rsidRPr="005A3C94" w14:paraId="27386CF7" w14:textId="77777777" w:rsidTr="004A58D5">
        <w:trPr>
          <w:trHeight w:val="315"/>
          <w:jc w:val="center"/>
        </w:trPr>
        <w:tc>
          <w:tcPr>
            <w:tcW w:w="1202" w:type="dxa"/>
            <w:vMerge/>
            <w:tcBorders>
              <w:top w:val="nil"/>
              <w:left w:val="single" w:sz="4" w:space="0" w:color="auto"/>
              <w:bottom w:val="single" w:sz="4" w:space="0" w:color="auto"/>
              <w:right w:val="single" w:sz="4" w:space="0" w:color="auto"/>
            </w:tcBorders>
            <w:vAlign w:val="center"/>
            <w:hideMark/>
          </w:tcPr>
          <w:p w14:paraId="45CD33CD" w14:textId="77777777" w:rsidR="004A58D5" w:rsidRPr="005A3C94" w:rsidRDefault="004A58D5" w:rsidP="004A58D5">
            <w:pPr>
              <w:spacing w:after="0" w:line="240" w:lineRule="auto"/>
              <w:rPr>
                <w:rFonts w:ascii="Calibri" w:eastAsia="Times New Roman" w:hAnsi="Calibri" w:cs="Times New Roman"/>
                <w:color w:val="000000"/>
                <w:sz w:val="24"/>
                <w:szCs w:val="24"/>
                <w:lang w:eastAsia="hu-HU"/>
              </w:rPr>
            </w:pPr>
          </w:p>
        </w:tc>
        <w:tc>
          <w:tcPr>
            <w:tcW w:w="1782" w:type="dxa"/>
            <w:tcBorders>
              <w:top w:val="nil"/>
              <w:left w:val="nil"/>
              <w:bottom w:val="single" w:sz="4" w:space="0" w:color="auto"/>
              <w:right w:val="single" w:sz="4" w:space="0" w:color="auto"/>
            </w:tcBorders>
            <w:shd w:val="clear" w:color="000000" w:fill="D9D9D9"/>
            <w:vAlign w:val="center"/>
            <w:hideMark/>
          </w:tcPr>
          <w:p w14:paraId="6C4921A1" w14:textId="77777777" w:rsidR="004A58D5" w:rsidRPr="005A3C94" w:rsidRDefault="004A58D5" w:rsidP="004A58D5">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176" w:type="dxa"/>
            <w:tcBorders>
              <w:top w:val="nil"/>
              <w:left w:val="nil"/>
              <w:bottom w:val="single" w:sz="4" w:space="0" w:color="auto"/>
              <w:right w:val="single" w:sz="4" w:space="0" w:color="auto"/>
            </w:tcBorders>
            <w:shd w:val="clear" w:color="000000" w:fill="C5E0B3"/>
            <w:vAlign w:val="center"/>
            <w:hideMark/>
          </w:tcPr>
          <w:p w14:paraId="4C9C0C62"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0,068</w:t>
            </w:r>
          </w:p>
        </w:tc>
        <w:tc>
          <w:tcPr>
            <w:tcW w:w="1175" w:type="dxa"/>
            <w:tcBorders>
              <w:top w:val="nil"/>
              <w:left w:val="nil"/>
              <w:bottom w:val="single" w:sz="4" w:space="0" w:color="auto"/>
              <w:right w:val="single" w:sz="4" w:space="0" w:color="auto"/>
            </w:tcBorders>
            <w:shd w:val="clear" w:color="000000" w:fill="FFFFFF"/>
            <w:vAlign w:val="center"/>
            <w:hideMark/>
          </w:tcPr>
          <w:p w14:paraId="1993DED9"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-0,242</w:t>
            </w:r>
          </w:p>
        </w:tc>
        <w:tc>
          <w:tcPr>
            <w:tcW w:w="1024" w:type="dxa"/>
            <w:tcBorders>
              <w:top w:val="nil"/>
              <w:left w:val="nil"/>
              <w:bottom w:val="single" w:sz="4" w:space="0" w:color="auto"/>
              <w:right w:val="single" w:sz="4" w:space="0" w:color="auto"/>
            </w:tcBorders>
            <w:shd w:val="clear" w:color="000000" w:fill="E9ABAB"/>
            <w:vAlign w:val="center"/>
            <w:hideMark/>
          </w:tcPr>
          <w:p w14:paraId="58D8FD1A"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-0,045</w:t>
            </w:r>
          </w:p>
        </w:tc>
        <w:tc>
          <w:tcPr>
            <w:tcW w:w="1191" w:type="dxa"/>
            <w:tcBorders>
              <w:top w:val="nil"/>
              <w:left w:val="nil"/>
              <w:bottom w:val="single" w:sz="4" w:space="0" w:color="auto"/>
              <w:right w:val="single" w:sz="4" w:space="0" w:color="auto"/>
            </w:tcBorders>
            <w:shd w:val="clear" w:color="000000" w:fill="C5E0B3"/>
            <w:vAlign w:val="center"/>
            <w:hideMark/>
          </w:tcPr>
          <w:p w14:paraId="1772B939" w14:textId="77777777" w:rsidR="004A58D5" w:rsidRPr="005A3C94" w:rsidRDefault="004A58D5" w:rsidP="004A58D5">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-0,02</w:t>
            </w:r>
          </w:p>
        </w:tc>
      </w:tr>
    </w:tbl>
    <w:p w14:paraId="6FB87FE0" w14:textId="25AB936E" w:rsidR="001E5568" w:rsidRPr="005A3C94" w:rsidRDefault="001E5568" w:rsidP="008C67DC">
      <w:pPr>
        <w:spacing w:line="276" w:lineRule="auto"/>
        <w:jc w:val="both"/>
        <w:rPr>
          <w:rFonts w:ascii="Times New Roman" w:hAnsi="Times New Roman" w:cs="Times New Roman"/>
          <w:sz w:val="20"/>
          <w:szCs w:val="24"/>
        </w:rPr>
      </w:pPr>
      <w:r w:rsidRPr="005A3C94">
        <w:rPr>
          <w:rFonts w:ascii="Times New Roman" w:hAnsi="Times New Roman" w:cs="Times New Roman"/>
          <w:sz w:val="20"/>
          <w:szCs w:val="24"/>
        </w:rPr>
        <w:t>*:</w:t>
      </w:r>
      <w:r w:rsidR="004A58D5" w:rsidRPr="005A3C94">
        <w:rPr>
          <w:rFonts w:ascii="Times New Roman" w:hAnsi="Times New Roman" w:cs="Times New Roman"/>
          <w:sz w:val="20"/>
          <w:szCs w:val="24"/>
        </w:rPr>
        <w:t xml:space="preserve"> </w:t>
      </w:r>
      <w:r w:rsidRPr="005A3C94">
        <w:rPr>
          <w:rFonts w:ascii="Times New Roman" w:hAnsi="Times New Roman" w:cs="Times New Roman"/>
          <w:sz w:val="20"/>
          <w:szCs w:val="24"/>
        </w:rPr>
        <w:t>rendkívül alacsony esetszám, cellánként két válaszadó</w:t>
      </w:r>
    </w:p>
    <w:p w14:paraId="60A6D817" w14:textId="77777777" w:rsidR="0053434F" w:rsidRPr="005A3C94" w:rsidRDefault="0053434F">
      <w:pPr>
        <w:rPr>
          <w:rFonts w:asciiTheme="majorHAnsi" w:eastAsiaTheme="majorEastAsia" w:hAnsiTheme="majorHAnsi" w:cstheme="majorBidi"/>
          <w:color w:val="1F4D78" w:themeColor="accent1" w:themeShade="7F"/>
          <w:sz w:val="24"/>
          <w:szCs w:val="24"/>
        </w:rPr>
      </w:pPr>
      <w:bookmarkStart w:id="19" w:name="_Toc437242829"/>
      <w:r w:rsidRPr="005A3C94">
        <w:br w:type="page"/>
      </w:r>
    </w:p>
    <w:p w14:paraId="126A6889" w14:textId="321EBF8A" w:rsidR="00034ED0" w:rsidRPr="005A3C94" w:rsidRDefault="00034ED0" w:rsidP="00C21F04">
      <w:pPr>
        <w:pStyle w:val="Cmsor3"/>
        <w:spacing w:before="240"/>
      </w:pPr>
      <w:r w:rsidRPr="005A3C94">
        <w:t>Matematikai képességek</w:t>
      </w:r>
      <w:bookmarkEnd w:id="19"/>
    </w:p>
    <w:p w14:paraId="1F77B55F" w14:textId="31AB39F0" w:rsidR="009F1170" w:rsidRPr="005A3C94" w:rsidRDefault="009F1170" w:rsidP="00C21F04">
      <w:pPr>
        <w:spacing w:before="240" w:line="276" w:lineRule="auto"/>
        <w:jc w:val="both"/>
        <w:rPr>
          <w:rFonts w:ascii="Times New Roman" w:hAnsi="Times New Roman" w:cs="Times New Roman"/>
          <w:sz w:val="24"/>
          <w:szCs w:val="24"/>
        </w:rPr>
      </w:pPr>
      <w:r w:rsidRPr="005A3C94">
        <w:rPr>
          <w:rFonts w:ascii="Times New Roman" w:hAnsi="Times New Roman" w:cs="Times New Roman"/>
          <w:sz w:val="24"/>
          <w:szCs w:val="24"/>
        </w:rPr>
        <w:t>A következőkben a két mérés során felvett matematika eredmények</w:t>
      </w:r>
      <w:r w:rsidR="00C21F04" w:rsidRPr="005A3C94">
        <w:rPr>
          <w:rFonts w:ascii="Times New Roman" w:hAnsi="Times New Roman" w:cs="Times New Roman"/>
          <w:sz w:val="24"/>
          <w:szCs w:val="24"/>
        </w:rPr>
        <w:t xml:space="preserve"> elemzését végezzük el. Három változót alakítottunk ki, az alapján, hogy hányan, hány esetben adtak helyes választ,</w:t>
      </w:r>
      <w:r w:rsidRPr="005A3C94">
        <w:rPr>
          <w:rFonts w:ascii="Times New Roman" w:hAnsi="Times New Roman" w:cs="Times New Roman"/>
          <w:sz w:val="24"/>
          <w:szCs w:val="24"/>
        </w:rPr>
        <w:t xml:space="preserve"> rossz választ</w:t>
      </w:r>
      <w:r w:rsidR="00C21F04" w:rsidRPr="005A3C94">
        <w:rPr>
          <w:rFonts w:ascii="Times New Roman" w:hAnsi="Times New Roman" w:cs="Times New Roman"/>
          <w:sz w:val="24"/>
          <w:szCs w:val="24"/>
        </w:rPr>
        <w:t xml:space="preserve">, és hányan, hány esetben </w:t>
      </w:r>
      <w:r w:rsidRPr="005A3C94">
        <w:rPr>
          <w:rFonts w:ascii="Times New Roman" w:hAnsi="Times New Roman" w:cs="Times New Roman"/>
          <w:sz w:val="24"/>
          <w:szCs w:val="24"/>
        </w:rPr>
        <w:t>nem adta</w:t>
      </w:r>
      <w:r w:rsidR="00C21F04" w:rsidRPr="005A3C94">
        <w:rPr>
          <w:rFonts w:ascii="Times New Roman" w:hAnsi="Times New Roman" w:cs="Times New Roman"/>
          <w:sz w:val="24"/>
          <w:szCs w:val="24"/>
        </w:rPr>
        <w:t>k semmilyen választ</w:t>
      </w:r>
      <w:r w:rsidRPr="005A3C94">
        <w:rPr>
          <w:rFonts w:ascii="Times New Roman" w:hAnsi="Times New Roman" w:cs="Times New Roman"/>
          <w:sz w:val="24"/>
          <w:szCs w:val="24"/>
        </w:rPr>
        <w:t>.</w:t>
      </w:r>
      <w:r w:rsidR="00C21F04" w:rsidRPr="005A3C94">
        <w:rPr>
          <w:rFonts w:ascii="Times New Roman" w:hAnsi="Times New Roman" w:cs="Times New Roman"/>
          <w:sz w:val="24"/>
          <w:szCs w:val="24"/>
        </w:rPr>
        <w:t xml:space="preserve"> Ezeket a számokat a módszertani leírásban bemutatottak szerint standardizáltuk, azaz a pozitív számok azt jelentik, hogy egy csoport az átlagosnál többször adott helyes, helytelen, vagy hiányzó választ.</w:t>
      </w:r>
    </w:p>
    <w:p w14:paraId="7BD21E4A" w14:textId="34D5EF6F" w:rsidR="009F1170" w:rsidRPr="005A3C94" w:rsidRDefault="009F1170" w:rsidP="008C67D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 bemeneti mérésen 21 matekfeladat volt. </w:t>
      </w:r>
      <w:r w:rsidR="000B6DAE" w:rsidRPr="005A3C94">
        <w:rPr>
          <w:rFonts w:ascii="Times New Roman" w:hAnsi="Times New Roman" w:cs="Times New Roman"/>
          <w:sz w:val="24"/>
          <w:szCs w:val="24"/>
        </w:rPr>
        <w:t xml:space="preserve">A módszertan szemléletesére bemutatunk egy táblázatot a bemeneti mérés matematika feladatai alapján. </w:t>
      </w:r>
      <w:r w:rsidR="009E4F2E">
        <w:rPr>
          <w:rFonts w:ascii="Times New Roman" w:hAnsi="Times New Roman" w:cs="Times New Roman"/>
          <w:sz w:val="24"/>
          <w:szCs w:val="24"/>
        </w:rPr>
        <w:t>Az alábbi táblázat oszlopaiban</w:t>
      </w:r>
      <w:r w:rsidRPr="005A3C94">
        <w:rPr>
          <w:rFonts w:ascii="Times New Roman" w:hAnsi="Times New Roman" w:cs="Times New Roman"/>
          <w:sz w:val="24"/>
          <w:szCs w:val="24"/>
        </w:rPr>
        <w:t xml:space="preserve"> az látható, hogy</w:t>
      </w:r>
      <w:r w:rsidR="003C07C5" w:rsidRPr="005A3C94">
        <w:rPr>
          <w:rFonts w:ascii="Times New Roman" w:hAnsi="Times New Roman" w:cs="Times New Roman"/>
          <w:sz w:val="24"/>
          <w:szCs w:val="24"/>
        </w:rPr>
        <w:t xml:space="preserve"> hány jó válasz érkezett. A 4</w:t>
      </w:r>
      <w:r w:rsidRPr="005A3C94">
        <w:rPr>
          <w:rFonts w:ascii="Times New Roman" w:hAnsi="Times New Roman" w:cs="Times New Roman"/>
          <w:sz w:val="24"/>
          <w:szCs w:val="24"/>
        </w:rPr>
        <w:t>-es</w:t>
      </w:r>
      <w:r w:rsidR="003C07C5" w:rsidRPr="005A3C94">
        <w:rPr>
          <w:rFonts w:ascii="Times New Roman" w:hAnsi="Times New Roman" w:cs="Times New Roman"/>
          <w:sz w:val="24"/>
          <w:szCs w:val="24"/>
        </w:rPr>
        <w:t xml:space="preserve"> érték tehát azt jelenti, hogy 4</w:t>
      </w:r>
      <w:r w:rsidRPr="005A3C94">
        <w:rPr>
          <w:rFonts w:ascii="Times New Roman" w:hAnsi="Times New Roman" w:cs="Times New Roman"/>
          <w:sz w:val="24"/>
          <w:szCs w:val="24"/>
        </w:rPr>
        <w:t xml:space="preserve"> feladatra válaszolt jól a diák. A sorokban az látható, hogy kontroll és a kísérleti osztályokba járó gyerekek közül hányan vál</w:t>
      </w:r>
      <w:r w:rsidR="003C07C5" w:rsidRPr="005A3C94">
        <w:rPr>
          <w:rFonts w:ascii="Times New Roman" w:hAnsi="Times New Roman" w:cs="Times New Roman"/>
          <w:sz w:val="24"/>
          <w:szCs w:val="24"/>
        </w:rPr>
        <w:t>aszoltak hányszor jól. Tehát a 4</w:t>
      </w:r>
      <w:r w:rsidRPr="005A3C94">
        <w:rPr>
          <w:rFonts w:ascii="Times New Roman" w:hAnsi="Times New Roman" w:cs="Times New Roman"/>
          <w:sz w:val="24"/>
          <w:szCs w:val="24"/>
        </w:rPr>
        <w:t xml:space="preserve">-es értékhez a kísérleti osztályokban 1 </w:t>
      </w:r>
      <w:r w:rsidR="003C07C5" w:rsidRPr="005A3C94">
        <w:rPr>
          <w:rFonts w:ascii="Times New Roman" w:hAnsi="Times New Roman" w:cs="Times New Roman"/>
          <w:sz w:val="24"/>
          <w:szCs w:val="24"/>
        </w:rPr>
        <w:t>tartozik, ez azt jelenti, hogy 4</w:t>
      </w:r>
      <w:r w:rsidRPr="005A3C94">
        <w:rPr>
          <w:rFonts w:ascii="Times New Roman" w:hAnsi="Times New Roman" w:cs="Times New Roman"/>
          <w:sz w:val="24"/>
          <w:szCs w:val="24"/>
        </w:rPr>
        <w:t xml:space="preserve"> jó választ 1 gyerek adott, míg a kontroll osztál</w:t>
      </w:r>
      <w:r w:rsidR="003C07C5" w:rsidRPr="005A3C94">
        <w:rPr>
          <w:rFonts w:ascii="Times New Roman" w:hAnsi="Times New Roman" w:cs="Times New Roman"/>
          <w:sz w:val="24"/>
          <w:szCs w:val="24"/>
        </w:rPr>
        <w:t>yokban 4-en adtok 4</w:t>
      </w:r>
      <w:r w:rsidR="005E7B38" w:rsidRPr="005A3C94">
        <w:rPr>
          <w:rFonts w:ascii="Times New Roman" w:hAnsi="Times New Roman" w:cs="Times New Roman"/>
          <w:sz w:val="24"/>
          <w:szCs w:val="24"/>
        </w:rPr>
        <w:t xml:space="preserve"> jó választ.</w:t>
      </w:r>
    </w:p>
    <w:p w14:paraId="7F284F74" w14:textId="0278E957" w:rsidR="00832E9A" w:rsidRPr="005A3C94" w:rsidRDefault="00DF1D13" w:rsidP="00832E9A">
      <w:pPr>
        <w:pStyle w:val="Kpalrs"/>
        <w:keepNext/>
      </w:pPr>
      <w:r>
        <w:fldChar w:fldCharType="begin"/>
      </w:r>
      <w:r>
        <w:instrText xml:space="preserve"> SEQ táblázat \* ARABIC </w:instrText>
      </w:r>
      <w:r>
        <w:fldChar w:fldCharType="separate"/>
      </w:r>
      <w:r w:rsidR="00DC5809">
        <w:rPr>
          <w:noProof/>
        </w:rPr>
        <w:t>13</w:t>
      </w:r>
      <w:r>
        <w:rPr>
          <w:noProof/>
        </w:rPr>
        <w:fldChar w:fldCharType="end"/>
      </w:r>
      <w:r w:rsidR="00832E9A" w:rsidRPr="005A3C94">
        <w:t>. táblázat: A jó válaszok megoszlása a bemeneti méréskor</w:t>
      </w:r>
    </w:p>
    <w:tbl>
      <w:tblPr>
        <w:tblW w:w="10500" w:type="dxa"/>
        <w:tblInd w:w="-719" w:type="dxa"/>
        <w:tblCellMar>
          <w:left w:w="70" w:type="dxa"/>
          <w:right w:w="70" w:type="dxa"/>
        </w:tblCellMar>
        <w:tblLook w:val="04A0" w:firstRow="1" w:lastRow="0" w:firstColumn="1" w:lastColumn="0" w:noHBand="0" w:noVBand="1"/>
      </w:tblPr>
      <w:tblGrid>
        <w:gridCol w:w="898"/>
        <w:gridCol w:w="379"/>
        <w:gridCol w:w="399"/>
        <w:gridCol w:w="439"/>
        <w:gridCol w:w="399"/>
        <w:gridCol w:w="419"/>
        <w:gridCol w:w="439"/>
        <w:gridCol w:w="439"/>
        <w:gridCol w:w="439"/>
        <w:gridCol w:w="379"/>
        <w:gridCol w:w="439"/>
        <w:gridCol w:w="400"/>
        <w:gridCol w:w="459"/>
        <w:gridCol w:w="400"/>
        <w:gridCol w:w="400"/>
        <w:gridCol w:w="459"/>
        <w:gridCol w:w="459"/>
        <w:gridCol w:w="459"/>
        <w:gridCol w:w="479"/>
        <w:gridCol w:w="519"/>
        <w:gridCol w:w="400"/>
        <w:gridCol w:w="479"/>
        <w:gridCol w:w="519"/>
      </w:tblGrid>
      <w:tr w:rsidR="00832E9A" w:rsidRPr="005A3C94" w14:paraId="7584C187" w14:textId="77777777" w:rsidTr="00832E9A">
        <w:trPr>
          <w:trHeight w:val="330"/>
        </w:trPr>
        <w:tc>
          <w:tcPr>
            <w:tcW w:w="898" w:type="dxa"/>
            <w:tcBorders>
              <w:top w:val="single" w:sz="8" w:space="0" w:color="auto"/>
              <w:left w:val="single" w:sz="8" w:space="0" w:color="auto"/>
              <w:bottom w:val="single" w:sz="8" w:space="0" w:color="auto"/>
              <w:right w:val="single" w:sz="8" w:space="0" w:color="auto"/>
            </w:tcBorders>
            <w:shd w:val="clear" w:color="000000" w:fill="4F81BD"/>
            <w:vAlign w:val="center"/>
            <w:hideMark/>
          </w:tcPr>
          <w:p w14:paraId="13240A46"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 </w:t>
            </w:r>
          </w:p>
        </w:tc>
        <w:tc>
          <w:tcPr>
            <w:tcW w:w="379" w:type="dxa"/>
            <w:tcBorders>
              <w:top w:val="single" w:sz="8" w:space="0" w:color="auto"/>
              <w:left w:val="nil"/>
              <w:bottom w:val="single" w:sz="8" w:space="0" w:color="auto"/>
              <w:right w:val="single" w:sz="8" w:space="0" w:color="auto"/>
            </w:tcBorders>
            <w:shd w:val="clear" w:color="000000" w:fill="4F81BD"/>
            <w:vAlign w:val="center"/>
            <w:hideMark/>
          </w:tcPr>
          <w:p w14:paraId="68AAE616"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0</w:t>
            </w:r>
          </w:p>
        </w:tc>
        <w:tc>
          <w:tcPr>
            <w:tcW w:w="399" w:type="dxa"/>
            <w:tcBorders>
              <w:top w:val="single" w:sz="8" w:space="0" w:color="auto"/>
              <w:left w:val="nil"/>
              <w:bottom w:val="single" w:sz="8" w:space="0" w:color="auto"/>
              <w:right w:val="single" w:sz="8" w:space="0" w:color="auto"/>
            </w:tcBorders>
            <w:shd w:val="clear" w:color="000000" w:fill="4F81BD"/>
            <w:vAlign w:val="center"/>
            <w:hideMark/>
          </w:tcPr>
          <w:p w14:paraId="7F49BED8"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1</w:t>
            </w:r>
          </w:p>
        </w:tc>
        <w:tc>
          <w:tcPr>
            <w:tcW w:w="439" w:type="dxa"/>
            <w:tcBorders>
              <w:top w:val="single" w:sz="8" w:space="0" w:color="auto"/>
              <w:left w:val="nil"/>
              <w:bottom w:val="single" w:sz="8" w:space="0" w:color="auto"/>
              <w:right w:val="single" w:sz="8" w:space="0" w:color="auto"/>
            </w:tcBorders>
            <w:shd w:val="clear" w:color="000000" w:fill="4F81BD"/>
            <w:vAlign w:val="center"/>
            <w:hideMark/>
          </w:tcPr>
          <w:p w14:paraId="4B2B510A"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2</w:t>
            </w:r>
          </w:p>
        </w:tc>
        <w:tc>
          <w:tcPr>
            <w:tcW w:w="399" w:type="dxa"/>
            <w:tcBorders>
              <w:top w:val="single" w:sz="8" w:space="0" w:color="auto"/>
              <w:left w:val="nil"/>
              <w:bottom w:val="single" w:sz="8" w:space="0" w:color="auto"/>
              <w:right w:val="single" w:sz="8" w:space="0" w:color="auto"/>
            </w:tcBorders>
            <w:shd w:val="clear" w:color="000000" w:fill="4F81BD"/>
            <w:vAlign w:val="center"/>
            <w:hideMark/>
          </w:tcPr>
          <w:p w14:paraId="57D0CE1D"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3</w:t>
            </w:r>
          </w:p>
        </w:tc>
        <w:tc>
          <w:tcPr>
            <w:tcW w:w="419" w:type="dxa"/>
            <w:tcBorders>
              <w:top w:val="single" w:sz="8" w:space="0" w:color="auto"/>
              <w:left w:val="nil"/>
              <w:bottom w:val="single" w:sz="8" w:space="0" w:color="auto"/>
              <w:right w:val="single" w:sz="8" w:space="0" w:color="auto"/>
            </w:tcBorders>
            <w:shd w:val="clear" w:color="000000" w:fill="4F81BD"/>
            <w:vAlign w:val="center"/>
            <w:hideMark/>
          </w:tcPr>
          <w:p w14:paraId="00801471"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4</w:t>
            </w:r>
          </w:p>
        </w:tc>
        <w:tc>
          <w:tcPr>
            <w:tcW w:w="439" w:type="dxa"/>
            <w:tcBorders>
              <w:top w:val="single" w:sz="8" w:space="0" w:color="auto"/>
              <w:left w:val="nil"/>
              <w:bottom w:val="single" w:sz="8" w:space="0" w:color="auto"/>
              <w:right w:val="single" w:sz="8" w:space="0" w:color="auto"/>
            </w:tcBorders>
            <w:shd w:val="clear" w:color="000000" w:fill="4F81BD"/>
            <w:vAlign w:val="center"/>
            <w:hideMark/>
          </w:tcPr>
          <w:p w14:paraId="4C9CE7BA"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5</w:t>
            </w:r>
          </w:p>
        </w:tc>
        <w:tc>
          <w:tcPr>
            <w:tcW w:w="439" w:type="dxa"/>
            <w:tcBorders>
              <w:top w:val="single" w:sz="8" w:space="0" w:color="auto"/>
              <w:left w:val="nil"/>
              <w:bottom w:val="single" w:sz="8" w:space="0" w:color="auto"/>
              <w:right w:val="single" w:sz="8" w:space="0" w:color="auto"/>
            </w:tcBorders>
            <w:shd w:val="clear" w:color="000000" w:fill="4F81BD"/>
            <w:vAlign w:val="center"/>
            <w:hideMark/>
          </w:tcPr>
          <w:p w14:paraId="3A7298A6"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6</w:t>
            </w:r>
          </w:p>
        </w:tc>
        <w:tc>
          <w:tcPr>
            <w:tcW w:w="439" w:type="dxa"/>
            <w:tcBorders>
              <w:top w:val="single" w:sz="8" w:space="0" w:color="auto"/>
              <w:left w:val="nil"/>
              <w:bottom w:val="single" w:sz="8" w:space="0" w:color="auto"/>
              <w:right w:val="single" w:sz="8" w:space="0" w:color="auto"/>
            </w:tcBorders>
            <w:shd w:val="clear" w:color="000000" w:fill="4F81BD"/>
            <w:vAlign w:val="center"/>
            <w:hideMark/>
          </w:tcPr>
          <w:p w14:paraId="5956E195"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7</w:t>
            </w:r>
          </w:p>
        </w:tc>
        <w:tc>
          <w:tcPr>
            <w:tcW w:w="379" w:type="dxa"/>
            <w:tcBorders>
              <w:top w:val="single" w:sz="8" w:space="0" w:color="auto"/>
              <w:left w:val="nil"/>
              <w:bottom w:val="single" w:sz="8" w:space="0" w:color="auto"/>
              <w:right w:val="single" w:sz="8" w:space="0" w:color="auto"/>
            </w:tcBorders>
            <w:shd w:val="clear" w:color="000000" w:fill="4F81BD"/>
            <w:vAlign w:val="center"/>
            <w:hideMark/>
          </w:tcPr>
          <w:p w14:paraId="751903B1"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8</w:t>
            </w:r>
          </w:p>
        </w:tc>
        <w:tc>
          <w:tcPr>
            <w:tcW w:w="439" w:type="dxa"/>
            <w:tcBorders>
              <w:top w:val="single" w:sz="8" w:space="0" w:color="auto"/>
              <w:left w:val="nil"/>
              <w:bottom w:val="single" w:sz="8" w:space="0" w:color="auto"/>
              <w:right w:val="single" w:sz="8" w:space="0" w:color="auto"/>
            </w:tcBorders>
            <w:shd w:val="clear" w:color="000000" w:fill="4F81BD"/>
            <w:vAlign w:val="center"/>
            <w:hideMark/>
          </w:tcPr>
          <w:p w14:paraId="5BAF9316"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9</w:t>
            </w:r>
          </w:p>
        </w:tc>
        <w:tc>
          <w:tcPr>
            <w:tcW w:w="400" w:type="dxa"/>
            <w:tcBorders>
              <w:top w:val="single" w:sz="8" w:space="0" w:color="auto"/>
              <w:left w:val="nil"/>
              <w:bottom w:val="single" w:sz="8" w:space="0" w:color="auto"/>
              <w:right w:val="single" w:sz="8" w:space="0" w:color="auto"/>
            </w:tcBorders>
            <w:shd w:val="clear" w:color="000000" w:fill="4F81BD"/>
            <w:vAlign w:val="center"/>
            <w:hideMark/>
          </w:tcPr>
          <w:p w14:paraId="79AAA182"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10</w:t>
            </w:r>
          </w:p>
        </w:tc>
        <w:tc>
          <w:tcPr>
            <w:tcW w:w="459" w:type="dxa"/>
            <w:tcBorders>
              <w:top w:val="single" w:sz="8" w:space="0" w:color="auto"/>
              <w:left w:val="nil"/>
              <w:bottom w:val="single" w:sz="8" w:space="0" w:color="auto"/>
              <w:right w:val="single" w:sz="8" w:space="0" w:color="auto"/>
            </w:tcBorders>
            <w:shd w:val="clear" w:color="000000" w:fill="4F81BD"/>
            <w:vAlign w:val="center"/>
            <w:hideMark/>
          </w:tcPr>
          <w:p w14:paraId="2202F55C"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11</w:t>
            </w:r>
          </w:p>
        </w:tc>
        <w:tc>
          <w:tcPr>
            <w:tcW w:w="400" w:type="dxa"/>
            <w:tcBorders>
              <w:top w:val="single" w:sz="8" w:space="0" w:color="auto"/>
              <w:left w:val="nil"/>
              <w:bottom w:val="single" w:sz="8" w:space="0" w:color="auto"/>
              <w:right w:val="single" w:sz="8" w:space="0" w:color="auto"/>
            </w:tcBorders>
            <w:shd w:val="clear" w:color="000000" w:fill="4F81BD"/>
            <w:vAlign w:val="center"/>
            <w:hideMark/>
          </w:tcPr>
          <w:p w14:paraId="668B8B15"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12</w:t>
            </w:r>
          </w:p>
        </w:tc>
        <w:tc>
          <w:tcPr>
            <w:tcW w:w="400" w:type="dxa"/>
            <w:tcBorders>
              <w:top w:val="single" w:sz="8" w:space="0" w:color="auto"/>
              <w:left w:val="nil"/>
              <w:bottom w:val="single" w:sz="8" w:space="0" w:color="auto"/>
              <w:right w:val="single" w:sz="8" w:space="0" w:color="auto"/>
            </w:tcBorders>
            <w:shd w:val="clear" w:color="000000" w:fill="4F81BD"/>
            <w:vAlign w:val="center"/>
            <w:hideMark/>
          </w:tcPr>
          <w:p w14:paraId="12639B78"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13</w:t>
            </w:r>
          </w:p>
        </w:tc>
        <w:tc>
          <w:tcPr>
            <w:tcW w:w="459" w:type="dxa"/>
            <w:tcBorders>
              <w:top w:val="single" w:sz="8" w:space="0" w:color="auto"/>
              <w:left w:val="nil"/>
              <w:bottom w:val="single" w:sz="8" w:space="0" w:color="auto"/>
              <w:right w:val="single" w:sz="8" w:space="0" w:color="auto"/>
            </w:tcBorders>
            <w:shd w:val="clear" w:color="000000" w:fill="4F81BD"/>
            <w:vAlign w:val="center"/>
            <w:hideMark/>
          </w:tcPr>
          <w:p w14:paraId="12500138"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14</w:t>
            </w:r>
          </w:p>
        </w:tc>
        <w:tc>
          <w:tcPr>
            <w:tcW w:w="459" w:type="dxa"/>
            <w:tcBorders>
              <w:top w:val="single" w:sz="8" w:space="0" w:color="auto"/>
              <w:left w:val="nil"/>
              <w:bottom w:val="single" w:sz="8" w:space="0" w:color="auto"/>
              <w:right w:val="single" w:sz="8" w:space="0" w:color="auto"/>
            </w:tcBorders>
            <w:shd w:val="clear" w:color="000000" w:fill="4F81BD"/>
            <w:vAlign w:val="center"/>
            <w:hideMark/>
          </w:tcPr>
          <w:p w14:paraId="224B84C8"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15</w:t>
            </w:r>
          </w:p>
        </w:tc>
        <w:tc>
          <w:tcPr>
            <w:tcW w:w="459" w:type="dxa"/>
            <w:tcBorders>
              <w:top w:val="single" w:sz="8" w:space="0" w:color="auto"/>
              <w:left w:val="nil"/>
              <w:bottom w:val="single" w:sz="8" w:space="0" w:color="auto"/>
              <w:right w:val="single" w:sz="8" w:space="0" w:color="auto"/>
            </w:tcBorders>
            <w:shd w:val="clear" w:color="000000" w:fill="4F81BD"/>
            <w:vAlign w:val="center"/>
            <w:hideMark/>
          </w:tcPr>
          <w:p w14:paraId="4631B26A"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16</w:t>
            </w:r>
          </w:p>
        </w:tc>
        <w:tc>
          <w:tcPr>
            <w:tcW w:w="479" w:type="dxa"/>
            <w:tcBorders>
              <w:top w:val="single" w:sz="8" w:space="0" w:color="auto"/>
              <w:left w:val="nil"/>
              <w:bottom w:val="single" w:sz="8" w:space="0" w:color="auto"/>
              <w:right w:val="single" w:sz="8" w:space="0" w:color="auto"/>
            </w:tcBorders>
            <w:shd w:val="clear" w:color="000000" w:fill="4F81BD"/>
            <w:vAlign w:val="center"/>
            <w:hideMark/>
          </w:tcPr>
          <w:p w14:paraId="7B966A77"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17</w:t>
            </w:r>
          </w:p>
        </w:tc>
        <w:tc>
          <w:tcPr>
            <w:tcW w:w="519" w:type="dxa"/>
            <w:tcBorders>
              <w:top w:val="single" w:sz="8" w:space="0" w:color="auto"/>
              <w:left w:val="nil"/>
              <w:bottom w:val="single" w:sz="8" w:space="0" w:color="auto"/>
              <w:right w:val="single" w:sz="8" w:space="0" w:color="auto"/>
            </w:tcBorders>
            <w:shd w:val="clear" w:color="000000" w:fill="4F81BD"/>
            <w:vAlign w:val="center"/>
            <w:hideMark/>
          </w:tcPr>
          <w:p w14:paraId="547F4EE4"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18</w:t>
            </w:r>
          </w:p>
        </w:tc>
        <w:tc>
          <w:tcPr>
            <w:tcW w:w="400" w:type="dxa"/>
            <w:tcBorders>
              <w:top w:val="single" w:sz="8" w:space="0" w:color="auto"/>
              <w:left w:val="nil"/>
              <w:bottom w:val="single" w:sz="8" w:space="0" w:color="auto"/>
              <w:right w:val="single" w:sz="8" w:space="0" w:color="auto"/>
            </w:tcBorders>
            <w:shd w:val="clear" w:color="000000" w:fill="4F81BD"/>
            <w:vAlign w:val="center"/>
            <w:hideMark/>
          </w:tcPr>
          <w:p w14:paraId="33025DD1"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19</w:t>
            </w:r>
          </w:p>
        </w:tc>
        <w:tc>
          <w:tcPr>
            <w:tcW w:w="479" w:type="dxa"/>
            <w:tcBorders>
              <w:top w:val="single" w:sz="8" w:space="0" w:color="auto"/>
              <w:left w:val="nil"/>
              <w:bottom w:val="single" w:sz="8" w:space="0" w:color="auto"/>
              <w:right w:val="single" w:sz="8" w:space="0" w:color="auto"/>
            </w:tcBorders>
            <w:shd w:val="clear" w:color="000000" w:fill="4F81BD"/>
            <w:vAlign w:val="center"/>
            <w:hideMark/>
          </w:tcPr>
          <w:p w14:paraId="7CD5DE5C"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20</w:t>
            </w:r>
          </w:p>
        </w:tc>
        <w:tc>
          <w:tcPr>
            <w:tcW w:w="519" w:type="dxa"/>
            <w:tcBorders>
              <w:top w:val="single" w:sz="8" w:space="0" w:color="auto"/>
              <w:left w:val="nil"/>
              <w:bottom w:val="single" w:sz="8" w:space="0" w:color="auto"/>
              <w:right w:val="single" w:sz="8" w:space="0" w:color="auto"/>
            </w:tcBorders>
            <w:shd w:val="clear" w:color="000000" w:fill="4F81BD"/>
            <w:vAlign w:val="center"/>
            <w:hideMark/>
          </w:tcPr>
          <w:p w14:paraId="33C05B8B" w14:textId="77777777" w:rsidR="00832E9A" w:rsidRPr="005A3C94" w:rsidRDefault="00832E9A" w:rsidP="00832E9A">
            <w:pPr>
              <w:spacing w:after="0" w:line="240" w:lineRule="auto"/>
              <w:jc w:val="center"/>
              <w:rPr>
                <w:rFonts w:ascii="Times New Roman" w:eastAsia="Times New Roman" w:hAnsi="Times New Roman" w:cs="Times New Roman"/>
                <w:b/>
                <w:bCs/>
                <w:color w:val="FFFFFF"/>
                <w:sz w:val="24"/>
                <w:szCs w:val="24"/>
                <w:lang w:eastAsia="hu-HU"/>
              </w:rPr>
            </w:pPr>
            <w:r w:rsidRPr="005A3C94">
              <w:rPr>
                <w:rFonts w:ascii="Times New Roman" w:eastAsia="Times New Roman" w:hAnsi="Times New Roman" w:cs="Times New Roman"/>
                <w:b/>
                <w:bCs/>
                <w:color w:val="FFFFFF"/>
                <w:sz w:val="24"/>
                <w:szCs w:val="24"/>
                <w:lang w:eastAsia="hu-HU"/>
              </w:rPr>
              <w:t>21</w:t>
            </w:r>
          </w:p>
        </w:tc>
      </w:tr>
      <w:tr w:rsidR="00832E9A" w:rsidRPr="005A3C94" w14:paraId="43DCE0CF" w14:textId="77777777" w:rsidTr="00832E9A">
        <w:trPr>
          <w:trHeight w:val="330"/>
        </w:trPr>
        <w:tc>
          <w:tcPr>
            <w:tcW w:w="898" w:type="dxa"/>
            <w:tcBorders>
              <w:top w:val="nil"/>
              <w:left w:val="single" w:sz="8" w:space="0" w:color="auto"/>
              <w:bottom w:val="single" w:sz="8" w:space="0" w:color="auto"/>
              <w:right w:val="single" w:sz="8" w:space="0" w:color="auto"/>
            </w:tcBorders>
            <w:shd w:val="clear" w:color="000000" w:fill="4F81BD"/>
            <w:vAlign w:val="center"/>
            <w:hideMark/>
          </w:tcPr>
          <w:p w14:paraId="010156AD" w14:textId="77777777" w:rsidR="00832E9A" w:rsidRPr="005A3C94" w:rsidRDefault="00832E9A" w:rsidP="00832E9A">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Kontroll</w:t>
            </w:r>
          </w:p>
        </w:tc>
        <w:tc>
          <w:tcPr>
            <w:tcW w:w="379" w:type="dxa"/>
            <w:tcBorders>
              <w:top w:val="nil"/>
              <w:left w:val="nil"/>
              <w:bottom w:val="single" w:sz="8" w:space="0" w:color="auto"/>
              <w:right w:val="single" w:sz="8" w:space="0" w:color="auto"/>
            </w:tcBorders>
            <w:shd w:val="clear" w:color="000000" w:fill="C5D9F1"/>
            <w:vAlign w:val="center"/>
            <w:hideMark/>
          </w:tcPr>
          <w:p w14:paraId="2B66DD6D"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w:t>
            </w:r>
          </w:p>
        </w:tc>
        <w:tc>
          <w:tcPr>
            <w:tcW w:w="399" w:type="dxa"/>
            <w:tcBorders>
              <w:top w:val="nil"/>
              <w:left w:val="nil"/>
              <w:bottom w:val="single" w:sz="8" w:space="0" w:color="auto"/>
              <w:right w:val="single" w:sz="8" w:space="0" w:color="auto"/>
            </w:tcBorders>
            <w:shd w:val="clear" w:color="000000" w:fill="C5D9F1"/>
            <w:vAlign w:val="center"/>
            <w:hideMark/>
          </w:tcPr>
          <w:p w14:paraId="24496961"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w:t>
            </w:r>
          </w:p>
        </w:tc>
        <w:tc>
          <w:tcPr>
            <w:tcW w:w="439" w:type="dxa"/>
            <w:tcBorders>
              <w:top w:val="nil"/>
              <w:left w:val="nil"/>
              <w:bottom w:val="single" w:sz="8" w:space="0" w:color="auto"/>
              <w:right w:val="single" w:sz="8" w:space="0" w:color="auto"/>
            </w:tcBorders>
            <w:shd w:val="clear" w:color="000000" w:fill="C5D9F1"/>
            <w:vAlign w:val="center"/>
            <w:hideMark/>
          </w:tcPr>
          <w:p w14:paraId="2F5C77DB"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w:t>
            </w:r>
          </w:p>
        </w:tc>
        <w:tc>
          <w:tcPr>
            <w:tcW w:w="399" w:type="dxa"/>
            <w:tcBorders>
              <w:top w:val="nil"/>
              <w:left w:val="nil"/>
              <w:bottom w:val="single" w:sz="8" w:space="0" w:color="auto"/>
              <w:right w:val="single" w:sz="8" w:space="0" w:color="auto"/>
            </w:tcBorders>
            <w:shd w:val="clear" w:color="000000" w:fill="C5D9F1"/>
            <w:vAlign w:val="center"/>
            <w:hideMark/>
          </w:tcPr>
          <w:p w14:paraId="096EE4F1"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3</w:t>
            </w:r>
          </w:p>
        </w:tc>
        <w:tc>
          <w:tcPr>
            <w:tcW w:w="419" w:type="dxa"/>
            <w:tcBorders>
              <w:top w:val="nil"/>
              <w:left w:val="nil"/>
              <w:bottom w:val="single" w:sz="8" w:space="0" w:color="auto"/>
              <w:right w:val="single" w:sz="8" w:space="0" w:color="auto"/>
            </w:tcBorders>
            <w:shd w:val="clear" w:color="000000" w:fill="C5D9F1"/>
            <w:vAlign w:val="center"/>
            <w:hideMark/>
          </w:tcPr>
          <w:p w14:paraId="7E519B3F"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4</w:t>
            </w:r>
          </w:p>
        </w:tc>
        <w:tc>
          <w:tcPr>
            <w:tcW w:w="439" w:type="dxa"/>
            <w:tcBorders>
              <w:top w:val="nil"/>
              <w:left w:val="nil"/>
              <w:bottom w:val="single" w:sz="8" w:space="0" w:color="auto"/>
              <w:right w:val="single" w:sz="8" w:space="0" w:color="auto"/>
            </w:tcBorders>
            <w:shd w:val="clear" w:color="000000" w:fill="C5D9F1"/>
            <w:vAlign w:val="center"/>
            <w:hideMark/>
          </w:tcPr>
          <w:p w14:paraId="1BBDB018"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6</w:t>
            </w:r>
          </w:p>
        </w:tc>
        <w:tc>
          <w:tcPr>
            <w:tcW w:w="439" w:type="dxa"/>
            <w:tcBorders>
              <w:top w:val="nil"/>
              <w:left w:val="nil"/>
              <w:bottom w:val="single" w:sz="8" w:space="0" w:color="auto"/>
              <w:right w:val="single" w:sz="8" w:space="0" w:color="auto"/>
            </w:tcBorders>
            <w:shd w:val="clear" w:color="000000" w:fill="C5D9F1"/>
            <w:vAlign w:val="center"/>
            <w:hideMark/>
          </w:tcPr>
          <w:p w14:paraId="57194FAD"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4</w:t>
            </w:r>
          </w:p>
        </w:tc>
        <w:tc>
          <w:tcPr>
            <w:tcW w:w="439" w:type="dxa"/>
            <w:tcBorders>
              <w:top w:val="nil"/>
              <w:left w:val="nil"/>
              <w:bottom w:val="single" w:sz="8" w:space="0" w:color="auto"/>
              <w:right w:val="single" w:sz="8" w:space="0" w:color="auto"/>
            </w:tcBorders>
            <w:shd w:val="clear" w:color="000000" w:fill="C5D9F1"/>
            <w:vAlign w:val="center"/>
            <w:hideMark/>
          </w:tcPr>
          <w:p w14:paraId="01127A37"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w:t>
            </w:r>
          </w:p>
        </w:tc>
        <w:tc>
          <w:tcPr>
            <w:tcW w:w="379" w:type="dxa"/>
            <w:tcBorders>
              <w:top w:val="nil"/>
              <w:left w:val="nil"/>
              <w:bottom w:val="single" w:sz="8" w:space="0" w:color="auto"/>
              <w:right w:val="single" w:sz="8" w:space="0" w:color="auto"/>
            </w:tcBorders>
            <w:shd w:val="clear" w:color="000000" w:fill="C5D9F1"/>
            <w:vAlign w:val="center"/>
            <w:hideMark/>
          </w:tcPr>
          <w:p w14:paraId="3CE745B4"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3</w:t>
            </w:r>
          </w:p>
        </w:tc>
        <w:tc>
          <w:tcPr>
            <w:tcW w:w="439" w:type="dxa"/>
            <w:tcBorders>
              <w:top w:val="nil"/>
              <w:left w:val="nil"/>
              <w:bottom w:val="single" w:sz="8" w:space="0" w:color="auto"/>
              <w:right w:val="single" w:sz="8" w:space="0" w:color="auto"/>
            </w:tcBorders>
            <w:shd w:val="clear" w:color="000000" w:fill="C5D9F1"/>
            <w:vAlign w:val="center"/>
            <w:hideMark/>
          </w:tcPr>
          <w:p w14:paraId="0F69ED4D"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5</w:t>
            </w:r>
          </w:p>
        </w:tc>
        <w:tc>
          <w:tcPr>
            <w:tcW w:w="400" w:type="dxa"/>
            <w:tcBorders>
              <w:top w:val="nil"/>
              <w:left w:val="nil"/>
              <w:bottom w:val="single" w:sz="8" w:space="0" w:color="auto"/>
              <w:right w:val="single" w:sz="8" w:space="0" w:color="auto"/>
            </w:tcBorders>
            <w:shd w:val="clear" w:color="000000" w:fill="C5D9F1"/>
            <w:vAlign w:val="center"/>
            <w:hideMark/>
          </w:tcPr>
          <w:p w14:paraId="6DC158EB"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w:t>
            </w:r>
          </w:p>
        </w:tc>
        <w:tc>
          <w:tcPr>
            <w:tcW w:w="459" w:type="dxa"/>
            <w:tcBorders>
              <w:top w:val="nil"/>
              <w:left w:val="nil"/>
              <w:bottom w:val="single" w:sz="8" w:space="0" w:color="auto"/>
              <w:right w:val="single" w:sz="8" w:space="0" w:color="auto"/>
            </w:tcBorders>
            <w:shd w:val="clear" w:color="000000" w:fill="C5D9F1"/>
            <w:vAlign w:val="center"/>
            <w:hideMark/>
          </w:tcPr>
          <w:p w14:paraId="2D7D272F"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w:t>
            </w:r>
          </w:p>
        </w:tc>
        <w:tc>
          <w:tcPr>
            <w:tcW w:w="400" w:type="dxa"/>
            <w:tcBorders>
              <w:top w:val="nil"/>
              <w:left w:val="nil"/>
              <w:bottom w:val="single" w:sz="8" w:space="0" w:color="auto"/>
              <w:right w:val="single" w:sz="8" w:space="0" w:color="auto"/>
            </w:tcBorders>
            <w:shd w:val="clear" w:color="000000" w:fill="C5D9F1"/>
            <w:vAlign w:val="center"/>
            <w:hideMark/>
          </w:tcPr>
          <w:p w14:paraId="3554FAA2"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4</w:t>
            </w:r>
          </w:p>
        </w:tc>
        <w:tc>
          <w:tcPr>
            <w:tcW w:w="400" w:type="dxa"/>
            <w:tcBorders>
              <w:top w:val="nil"/>
              <w:left w:val="nil"/>
              <w:bottom w:val="single" w:sz="8" w:space="0" w:color="auto"/>
              <w:right w:val="single" w:sz="8" w:space="0" w:color="auto"/>
            </w:tcBorders>
            <w:shd w:val="clear" w:color="000000" w:fill="C5D9F1"/>
            <w:vAlign w:val="center"/>
            <w:hideMark/>
          </w:tcPr>
          <w:p w14:paraId="181FFA69"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3</w:t>
            </w:r>
          </w:p>
        </w:tc>
        <w:tc>
          <w:tcPr>
            <w:tcW w:w="459" w:type="dxa"/>
            <w:tcBorders>
              <w:top w:val="nil"/>
              <w:left w:val="nil"/>
              <w:bottom w:val="single" w:sz="8" w:space="0" w:color="auto"/>
              <w:right w:val="single" w:sz="8" w:space="0" w:color="auto"/>
            </w:tcBorders>
            <w:shd w:val="clear" w:color="000000" w:fill="C5D9F1"/>
            <w:vAlign w:val="center"/>
            <w:hideMark/>
          </w:tcPr>
          <w:p w14:paraId="1DD654A8"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2</w:t>
            </w:r>
          </w:p>
        </w:tc>
        <w:tc>
          <w:tcPr>
            <w:tcW w:w="459" w:type="dxa"/>
            <w:tcBorders>
              <w:top w:val="nil"/>
              <w:left w:val="nil"/>
              <w:bottom w:val="single" w:sz="8" w:space="0" w:color="auto"/>
              <w:right w:val="single" w:sz="8" w:space="0" w:color="auto"/>
            </w:tcBorders>
            <w:shd w:val="clear" w:color="000000" w:fill="C5D9F1"/>
            <w:vAlign w:val="center"/>
            <w:hideMark/>
          </w:tcPr>
          <w:p w14:paraId="427A6196"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3</w:t>
            </w:r>
          </w:p>
        </w:tc>
        <w:tc>
          <w:tcPr>
            <w:tcW w:w="459" w:type="dxa"/>
            <w:tcBorders>
              <w:top w:val="nil"/>
              <w:left w:val="nil"/>
              <w:bottom w:val="single" w:sz="8" w:space="0" w:color="auto"/>
              <w:right w:val="single" w:sz="8" w:space="0" w:color="auto"/>
            </w:tcBorders>
            <w:shd w:val="clear" w:color="000000" w:fill="C5D9F1"/>
            <w:vAlign w:val="center"/>
            <w:hideMark/>
          </w:tcPr>
          <w:p w14:paraId="6BFE85F1"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2</w:t>
            </w:r>
          </w:p>
        </w:tc>
        <w:tc>
          <w:tcPr>
            <w:tcW w:w="479" w:type="dxa"/>
            <w:tcBorders>
              <w:top w:val="nil"/>
              <w:left w:val="nil"/>
              <w:bottom w:val="single" w:sz="8" w:space="0" w:color="auto"/>
              <w:right w:val="single" w:sz="8" w:space="0" w:color="auto"/>
            </w:tcBorders>
            <w:shd w:val="clear" w:color="000000" w:fill="C5D9F1"/>
            <w:vAlign w:val="center"/>
            <w:hideMark/>
          </w:tcPr>
          <w:p w14:paraId="1E654F36"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w:t>
            </w:r>
          </w:p>
        </w:tc>
        <w:tc>
          <w:tcPr>
            <w:tcW w:w="519" w:type="dxa"/>
            <w:tcBorders>
              <w:top w:val="nil"/>
              <w:left w:val="nil"/>
              <w:bottom w:val="single" w:sz="8" w:space="0" w:color="auto"/>
              <w:right w:val="single" w:sz="8" w:space="0" w:color="auto"/>
            </w:tcBorders>
            <w:shd w:val="clear" w:color="000000" w:fill="C5D9F1"/>
            <w:vAlign w:val="center"/>
            <w:hideMark/>
          </w:tcPr>
          <w:p w14:paraId="2F9C8A62"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w:t>
            </w:r>
          </w:p>
        </w:tc>
        <w:tc>
          <w:tcPr>
            <w:tcW w:w="400" w:type="dxa"/>
            <w:tcBorders>
              <w:top w:val="nil"/>
              <w:left w:val="nil"/>
              <w:bottom w:val="single" w:sz="8" w:space="0" w:color="auto"/>
              <w:right w:val="single" w:sz="8" w:space="0" w:color="auto"/>
            </w:tcBorders>
            <w:shd w:val="clear" w:color="000000" w:fill="C5D9F1"/>
            <w:vAlign w:val="center"/>
            <w:hideMark/>
          </w:tcPr>
          <w:p w14:paraId="23759B2F"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w:t>
            </w:r>
          </w:p>
        </w:tc>
        <w:tc>
          <w:tcPr>
            <w:tcW w:w="479" w:type="dxa"/>
            <w:tcBorders>
              <w:top w:val="nil"/>
              <w:left w:val="nil"/>
              <w:bottom w:val="single" w:sz="8" w:space="0" w:color="auto"/>
              <w:right w:val="single" w:sz="8" w:space="0" w:color="auto"/>
            </w:tcBorders>
            <w:shd w:val="clear" w:color="000000" w:fill="C5D9F1"/>
            <w:vAlign w:val="center"/>
            <w:hideMark/>
          </w:tcPr>
          <w:p w14:paraId="71CF1BC9"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w:t>
            </w:r>
          </w:p>
        </w:tc>
        <w:tc>
          <w:tcPr>
            <w:tcW w:w="519" w:type="dxa"/>
            <w:tcBorders>
              <w:top w:val="nil"/>
              <w:left w:val="nil"/>
              <w:bottom w:val="single" w:sz="8" w:space="0" w:color="auto"/>
              <w:right w:val="single" w:sz="8" w:space="0" w:color="auto"/>
            </w:tcBorders>
            <w:shd w:val="clear" w:color="000000" w:fill="C5D9F1"/>
            <w:vAlign w:val="center"/>
            <w:hideMark/>
          </w:tcPr>
          <w:p w14:paraId="3169D353"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w:t>
            </w:r>
          </w:p>
        </w:tc>
      </w:tr>
      <w:tr w:rsidR="00832E9A" w:rsidRPr="005A3C94" w14:paraId="7E8646C9" w14:textId="77777777" w:rsidTr="00832E9A">
        <w:trPr>
          <w:trHeight w:val="330"/>
        </w:trPr>
        <w:tc>
          <w:tcPr>
            <w:tcW w:w="898" w:type="dxa"/>
            <w:tcBorders>
              <w:top w:val="nil"/>
              <w:left w:val="single" w:sz="8" w:space="0" w:color="auto"/>
              <w:bottom w:val="single" w:sz="8" w:space="0" w:color="auto"/>
              <w:right w:val="single" w:sz="8" w:space="0" w:color="auto"/>
            </w:tcBorders>
            <w:shd w:val="clear" w:color="000000" w:fill="4F81BD"/>
            <w:vAlign w:val="center"/>
            <w:hideMark/>
          </w:tcPr>
          <w:p w14:paraId="0BA92DE2" w14:textId="77777777" w:rsidR="00832E9A" w:rsidRPr="005A3C94" w:rsidRDefault="00832E9A" w:rsidP="00832E9A">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Kísérleti</w:t>
            </w:r>
          </w:p>
        </w:tc>
        <w:tc>
          <w:tcPr>
            <w:tcW w:w="379" w:type="dxa"/>
            <w:tcBorders>
              <w:top w:val="nil"/>
              <w:left w:val="nil"/>
              <w:bottom w:val="single" w:sz="8" w:space="0" w:color="auto"/>
              <w:right w:val="single" w:sz="8" w:space="0" w:color="auto"/>
            </w:tcBorders>
            <w:shd w:val="clear" w:color="000000" w:fill="DCE6F1"/>
            <w:vAlign w:val="center"/>
            <w:hideMark/>
          </w:tcPr>
          <w:p w14:paraId="7451F1EB"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w:t>
            </w:r>
          </w:p>
        </w:tc>
        <w:tc>
          <w:tcPr>
            <w:tcW w:w="399" w:type="dxa"/>
            <w:tcBorders>
              <w:top w:val="nil"/>
              <w:left w:val="nil"/>
              <w:bottom w:val="single" w:sz="8" w:space="0" w:color="auto"/>
              <w:right w:val="single" w:sz="8" w:space="0" w:color="auto"/>
            </w:tcBorders>
            <w:shd w:val="clear" w:color="000000" w:fill="DCE6F1"/>
            <w:vAlign w:val="center"/>
            <w:hideMark/>
          </w:tcPr>
          <w:p w14:paraId="06BAB4C4"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w:t>
            </w:r>
          </w:p>
        </w:tc>
        <w:tc>
          <w:tcPr>
            <w:tcW w:w="439" w:type="dxa"/>
            <w:tcBorders>
              <w:top w:val="nil"/>
              <w:left w:val="nil"/>
              <w:bottom w:val="single" w:sz="8" w:space="0" w:color="auto"/>
              <w:right w:val="single" w:sz="8" w:space="0" w:color="auto"/>
            </w:tcBorders>
            <w:shd w:val="clear" w:color="000000" w:fill="DCE6F1"/>
            <w:vAlign w:val="center"/>
            <w:hideMark/>
          </w:tcPr>
          <w:p w14:paraId="43B5885D"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w:t>
            </w:r>
          </w:p>
        </w:tc>
        <w:tc>
          <w:tcPr>
            <w:tcW w:w="399" w:type="dxa"/>
            <w:tcBorders>
              <w:top w:val="nil"/>
              <w:left w:val="nil"/>
              <w:bottom w:val="single" w:sz="8" w:space="0" w:color="auto"/>
              <w:right w:val="single" w:sz="8" w:space="0" w:color="auto"/>
            </w:tcBorders>
            <w:shd w:val="clear" w:color="000000" w:fill="DCE6F1"/>
            <w:vAlign w:val="center"/>
            <w:hideMark/>
          </w:tcPr>
          <w:p w14:paraId="263D245D"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2</w:t>
            </w:r>
          </w:p>
        </w:tc>
        <w:tc>
          <w:tcPr>
            <w:tcW w:w="419" w:type="dxa"/>
            <w:tcBorders>
              <w:top w:val="nil"/>
              <w:left w:val="nil"/>
              <w:bottom w:val="single" w:sz="8" w:space="0" w:color="auto"/>
              <w:right w:val="single" w:sz="8" w:space="0" w:color="auto"/>
            </w:tcBorders>
            <w:shd w:val="clear" w:color="000000" w:fill="DCE6F1"/>
            <w:vAlign w:val="center"/>
            <w:hideMark/>
          </w:tcPr>
          <w:p w14:paraId="12A8CFB1"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w:t>
            </w:r>
          </w:p>
        </w:tc>
        <w:tc>
          <w:tcPr>
            <w:tcW w:w="439" w:type="dxa"/>
            <w:tcBorders>
              <w:top w:val="nil"/>
              <w:left w:val="nil"/>
              <w:bottom w:val="single" w:sz="8" w:space="0" w:color="auto"/>
              <w:right w:val="single" w:sz="8" w:space="0" w:color="auto"/>
            </w:tcBorders>
            <w:shd w:val="clear" w:color="000000" w:fill="DCE6F1"/>
            <w:vAlign w:val="center"/>
            <w:hideMark/>
          </w:tcPr>
          <w:p w14:paraId="71346CD9"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w:t>
            </w:r>
          </w:p>
        </w:tc>
        <w:tc>
          <w:tcPr>
            <w:tcW w:w="439" w:type="dxa"/>
            <w:tcBorders>
              <w:top w:val="nil"/>
              <w:left w:val="nil"/>
              <w:bottom w:val="single" w:sz="8" w:space="0" w:color="auto"/>
              <w:right w:val="single" w:sz="8" w:space="0" w:color="auto"/>
            </w:tcBorders>
            <w:shd w:val="clear" w:color="000000" w:fill="DCE6F1"/>
            <w:vAlign w:val="center"/>
            <w:hideMark/>
          </w:tcPr>
          <w:p w14:paraId="0340BFD7"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3</w:t>
            </w:r>
          </w:p>
        </w:tc>
        <w:tc>
          <w:tcPr>
            <w:tcW w:w="439" w:type="dxa"/>
            <w:tcBorders>
              <w:top w:val="nil"/>
              <w:left w:val="nil"/>
              <w:bottom w:val="single" w:sz="8" w:space="0" w:color="auto"/>
              <w:right w:val="single" w:sz="8" w:space="0" w:color="auto"/>
            </w:tcBorders>
            <w:shd w:val="clear" w:color="000000" w:fill="DCE6F1"/>
            <w:vAlign w:val="center"/>
            <w:hideMark/>
          </w:tcPr>
          <w:p w14:paraId="660C4A15"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8</w:t>
            </w:r>
          </w:p>
        </w:tc>
        <w:tc>
          <w:tcPr>
            <w:tcW w:w="379" w:type="dxa"/>
            <w:tcBorders>
              <w:top w:val="nil"/>
              <w:left w:val="nil"/>
              <w:bottom w:val="single" w:sz="8" w:space="0" w:color="auto"/>
              <w:right w:val="single" w:sz="8" w:space="0" w:color="auto"/>
            </w:tcBorders>
            <w:shd w:val="clear" w:color="000000" w:fill="DCE6F1"/>
            <w:vAlign w:val="center"/>
            <w:hideMark/>
          </w:tcPr>
          <w:p w14:paraId="00830391"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3</w:t>
            </w:r>
          </w:p>
        </w:tc>
        <w:tc>
          <w:tcPr>
            <w:tcW w:w="439" w:type="dxa"/>
            <w:tcBorders>
              <w:top w:val="nil"/>
              <w:left w:val="nil"/>
              <w:bottom w:val="single" w:sz="8" w:space="0" w:color="auto"/>
              <w:right w:val="single" w:sz="8" w:space="0" w:color="auto"/>
            </w:tcBorders>
            <w:shd w:val="clear" w:color="000000" w:fill="DCE6F1"/>
            <w:vAlign w:val="center"/>
            <w:hideMark/>
          </w:tcPr>
          <w:p w14:paraId="3D2C866D"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2</w:t>
            </w:r>
          </w:p>
        </w:tc>
        <w:tc>
          <w:tcPr>
            <w:tcW w:w="400" w:type="dxa"/>
            <w:tcBorders>
              <w:top w:val="nil"/>
              <w:left w:val="nil"/>
              <w:bottom w:val="single" w:sz="8" w:space="0" w:color="auto"/>
              <w:right w:val="single" w:sz="8" w:space="0" w:color="auto"/>
            </w:tcBorders>
            <w:shd w:val="clear" w:color="000000" w:fill="DCE6F1"/>
            <w:vAlign w:val="center"/>
            <w:hideMark/>
          </w:tcPr>
          <w:p w14:paraId="702DD8A4"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5</w:t>
            </w:r>
          </w:p>
        </w:tc>
        <w:tc>
          <w:tcPr>
            <w:tcW w:w="459" w:type="dxa"/>
            <w:tcBorders>
              <w:top w:val="nil"/>
              <w:left w:val="nil"/>
              <w:bottom w:val="single" w:sz="8" w:space="0" w:color="auto"/>
              <w:right w:val="single" w:sz="8" w:space="0" w:color="auto"/>
            </w:tcBorders>
            <w:shd w:val="clear" w:color="000000" w:fill="DCE6F1"/>
            <w:vAlign w:val="center"/>
            <w:hideMark/>
          </w:tcPr>
          <w:p w14:paraId="29DCF71A"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w:t>
            </w:r>
          </w:p>
        </w:tc>
        <w:tc>
          <w:tcPr>
            <w:tcW w:w="400" w:type="dxa"/>
            <w:tcBorders>
              <w:top w:val="nil"/>
              <w:left w:val="nil"/>
              <w:bottom w:val="single" w:sz="8" w:space="0" w:color="auto"/>
              <w:right w:val="single" w:sz="8" w:space="0" w:color="auto"/>
            </w:tcBorders>
            <w:shd w:val="clear" w:color="000000" w:fill="DCE6F1"/>
            <w:vAlign w:val="center"/>
            <w:hideMark/>
          </w:tcPr>
          <w:p w14:paraId="1D006D19"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w:t>
            </w:r>
          </w:p>
        </w:tc>
        <w:tc>
          <w:tcPr>
            <w:tcW w:w="400" w:type="dxa"/>
            <w:tcBorders>
              <w:top w:val="nil"/>
              <w:left w:val="nil"/>
              <w:bottom w:val="single" w:sz="8" w:space="0" w:color="auto"/>
              <w:right w:val="single" w:sz="8" w:space="0" w:color="auto"/>
            </w:tcBorders>
            <w:shd w:val="clear" w:color="000000" w:fill="DCE6F1"/>
            <w:vAlign w:val="center"/>
            <w:hideMark/>
          </w:tcPr>
          <w:p w14:paraId="34662AF4"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2</w:t>
            </w:r>
          </w:p>
        </w:tc>
        <w:tc>
          <w:tcPr>
            <w:tcW w:w="459" w:type="dxa"/>
            <w:tcBorders>
              <w:top w:val="nil"/>
              <w:left w:val="nil"/>
              <w:bottom w:val="single" w:sz="8" w:space="0" w:color="auto"/>
              <w:right w:val="single" w:sz="8" w:space="0" w:color="auto"/>
            </w:tcBorders>
            <w:shd w:val="clear" w:color="000000" w:fill="DCE6F1"/>
            <w:vAlign w:val="center"/>
            <w:hideMark/>
          </w:tcPr>
          <w:p w14:paraId="4E8AA86F"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3</w:t>
            </w:r>
          </w:p>
        </w:tc>
        <w:tc>
          <w:tcPr>
            <w:tcW w:w="459" w:type="dxa"/>
            <w:tcBorders>
              <w:top w:val="nil"/>
              <w:left w:val="nil"/>
              <w:bottom w:val="single" w:sz="8" w:space="0" w:color="auto"/>
              <w:right w:val="single" w:sz="8" w:space="0" w:color="auto"/>
            </w:tcBorders>
            <w:shd w:val="clear" w:color="000000" w:fill="DCE6F1"/>
            <w:vAlign w:val="center"/>
            <w:hideMark/>
          </w:tcPr>
          <w:p w14:paraId="386C8357"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1</w:t>
            </w:r>
          </w:p>
        </w:tc>
        <w:tc>
          <w:tcPr>
            <w:tcW w:w="459" w:type="dxa"/>
            <w:tcBorders>
              <w:top w:val="nil"/>
              <w:left w:val="nil"/>
              <w:bottom w:val="single" w:sz="8" w:space="0" w:color="auto"/>
              <w:right w:val="single" w:sz="8" w:space="0" w:color="auto"/>
            </w:tcBorders>
            <w:shd w:val="clear" w:color="000000" w:fill="DCE6F1"/>
            <w:vAlign w:val="center"/>
            <w:hideMark/>
          </w:tcPr>
          <w:p w14:paraId="35F7725A"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2</w:t>
            </w:r>
          </w:p>
        </w:tc>
        <w:tc>
          <w:tcPr>
            <w:tcW w:w="479" w:type="dxa"/>
            <w:tcBorders>
              <w:top w:val="nil"/>
              <w:left w:val="nil"/>
              <w:bottom w:val="single" w:sz="8" w:space="0" w:color="auto"/>
              <w:right w:val="single" w:sz="8" w:space="0" w:color="auto"/>
            </w:tcBorders>
            <w:shd w:val="clear" w:color="000000" w:fill="DCE6F1"/>
            <w:vAlign w:val="center"/>
            <w:hideMark/>
          </w:tcPr>
          <w:p w14:paraId="70EAC70D"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2</w:t>
            </w:r>
          </w:p>
        </w:tc>
        <w:tc>
          <w:tcPr>
            <w:tcW w:w="519" w:type="dxa"/>
            <w:tcBorders>
              <w:top w:val="nil"/>
              <w:left w:val="nil"/>
              <w:bottom w:val="single" w:sz="8" w:space="0" w:color="auto"/>
              <w:right w:val="single" w:sz="8" w:space="0" w:color="auto"/>
            </w:tcBorders>
            <w:shd w:val="clear" w:color="000000" w:fill="DCE6F1"/>
            <w:vAlign w:val="center"/>
            <w:hideMark/>
          </w:tcPr>
          <w:p w14:paraId="79E32E30"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2</w:t>
            </w:r>
          </w:p>
        </w:tc>
        <w:tc>
          <w:tcPr>
            <w:tcW w:w="400" w:type="dxa"/>
            <w:tcBorders>
              <w:top w:val="nil"/>
              <w:left w:val="nil"/>
              <w:bottom w:val="single" w:sz="8" w:space="0" w:color="auto"/>
              <w:right w:val="single" w:sz="8" w:space="0" w:color="auto"/>
            </w:tcBorders>
            <w:shd w:val="clear" w:color="000000" w:fill="DCE6F1"/>
            <w:vAlign w:val="center"/>
            <w:hideMark/>
          </w:tcPr>
          <w:p w14:paraId="1B6FDA01"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2</w:t>
            </w:r>
          </w:p>
        </w:tc>
        <w:tc>
          <w:tcPr>
            <w:tcW w:w="479" w:type="dxa"/>
            <w:tcBorders>
              <w:top w:val="nil"/>
              <w:left w:val="nil"/>
              <w:bottom w:val="single" w:sz="8" w:space="0" w:color="auto"/>
              <w:right w:val="single" w:sz="8" w:space="0" w:color="auto"/>
            </w:tcBorders>
            <w:shd w:val="clear" w:color="000000" w:fill="DCE6F1"/>
            <w:vAlign w:val="center"/>
            <w:hideMark/>
          </w:tcPr>
          <w:p w14:paraId="2D0B27DD"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w:t>
            </w:r>
          </w:p>
        </w:tc>
        <w:tc>
          <w:tcPr>
            <w:tcW w:w="519" w:type="dxa"/>
            <w:tcBorders>
              <w:top w:val="nil"/>
              <w:left w:val="nil"/>
              <w:bottom w:val="single" w:sz="8" w:space="0" w:color="auto"/>
              <w:right w:val="single" w:sz="8" w:space="0" w:color="auto"/>
            </w:tcBorders>
            <w:shd w:val="clear" w:color="000000" w:fill="DCE6F1"/>
            <w:vAlign w:val="center"/>
            <w:hideMark/>
          </w:tcPr>
          <w:p w14:paraId="20051869" w14:textId="77777777" w:rsidR="00832E9A" w:rsidRPr="005A3C94" w:rsidRDefault="00832E9A" w:rsidP="00832E9A">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3</w:t>
            </w:r>
          </w:p>
        </w:tc>
      </w:tr>
    </w:tbl>
    <w:p w14:paraId="1DA7B282" w14:textId="77777777" w:rsidR="00C21F04" w:rsidRPr="005A3C94" w:rsidRDefault="00C21F04" w:rsidP="00832E9A">
      <w:pPr>
        <w:pStyle w:val="Listaszerbekezds"/>
        <w:spacing w:line="276" w:lineRule="auto"/>
        <w:ind w:left="360"/>
        <w:jc w:val="both"/>
        <w:rPr>
          <w:rFonts w:ascii="Times New Roman" w:hAnsi="Times New Roman" w:cs="Times New Roman"/>
          <w:sz w:val="24"/>
          <w:szCs w:val="24"/>
        </w:rPr>
      </w:pPr>
    </w:p>
    <w:p w14:paraId="18C3163D" w14:textId="7A01928A" w:rsidR="009F1170" w:rsidRPr="005A3C94" w:rsidRDefault="00C21F04" w:rsidP="00C21F04">
      <w:pPr>
        <w:pStyle w:val="Listaszerbekezds"/>
        <w:spacing w:after="240" w:line="276" w:lineRule="auto"/>
        <w:ind w:left="0"/>
        <w:jc w:val="both"/>
        <w:rPr>
          <w:rFonts w:ascii="Times New Roman" w:hAnsi="Times New Roman" w:cs="Times New Roman"/>
          <w:sz w:val="24"/>
          <w:szCs w:val="24"/>
        </w:rPr>
      </w:pPr>
      <w:r w:rsidRPr="005A3C94">
        <w:rPr>
          <w:rFonts w:ascii="Times New Roman" w:hAnsi="Times New Roman" w:cs="Times New Roman"/>
          <w:sz w:val="24"/>
          <w:szCs w:val="24"/>
        </w:rPr>
        <w:t xml:space="preserve">Az adatok alapján a kontroll osztályokba járó gyerekek átlagosan több esetben adtak rossz választ, mint a kísérleti osztályokba járók. Ez a különbség ráadásul még nőtt is a kimeneti mérés idejére, vagyis a </w:t>
      </w:r>
      <w:r w:rsidRPr="005A3C94">
        <w:rPr>
          <w:rFonts w:ascii="Times New Roman" w:hAnsi="Times New Roman" w:cs="Times New Roman"/>
          <w:b/>
          <w:sz w:val="24"/>
          <w:szCs w:val="24"/>
        </w:rPr>
        <w:t>program hatására a kísérleti osztályokba járó diákok többször adtak jó választ</w:t>
      </w:r>
      <w:r w:rsidRPr="005A3C94">
        <w:rPr>
          <w:rFonts w:ascii="Times New Roman" w:hAnsi="Times New Roman" w:cs="Times New Roman"/>
          <w:sz w:val="24"/>
          <w:szCs w:val="24"/>
        </w:rPr>
        <w:t xml:space="preserve"> a feladatokra. </w:t>
      </w:r>
    </w:p>
    <w:p w14:paraId="01ED9FB5" w14:textId="12B1B2FD" w:rsidR="00E94A28" w:rsidRPr="005A3C94" w:rsidRDefault="00832E9A" w:rsidP="00B87CC7">
      <w:pPr>
        <w:pStyle w:val="Listaszerbekezds"/>
        <w:keepNext/>
        <w:autoSpaceDE w:val="0"/>
        <w:autoSpaceDN w:val="0"/>
        <w:adjustRightInd w:val="0"/>
        <w:spacing w:after="0" w:line="276" w:lineRule="auto"/>
        <w:ind w:left="0"/>
        <w:jc w:val="center"/>
      </w:pPr>
      <w:r w:rsidRPr="005A3C94">
        <w:rPr>
          <w:noProof/>
          <w:lang w:eastAsia="hu-HU"/>
        </w:rPr>
        <w:drawing>
          <wp:inline distT="0" distB="0" distL="0" distR="0" wp14:anchorId="462C4883" wp14:editId="16A137E2">
            <wp:extent cx="5760720" cy="3319780"/>
            <wp:effectExtent l="0" t="0" r="11430" b="1397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78E385D" w14:textId="14918B28" w:rsidR="00E94A28" w:rsidRPr="005A3C94" w:rsidRDefault="00E94A28" w:rsidP="00AB07AD">
      <w:pPr>
        <w:pStyle w:val="Kpalrs"/>
        <w:rPr>
          <w:rFonts w:ascii="Times New Roman" w:hAnsi="Times New Roman" w:cs="Times New Roman"/>
          <w:sz w:val="24"/>
          <w:szCs w:val="24"/>
        </w:rPr>
      </w:pPr>
      <w:r w:rsidRPr="005A3C94">
        <w:rPr>
          <w:rFonts w:ascii="Times New Roman" w:hAnsi="Times New Roman" w:cs="Times New Roman"/>
          <w:sz w:val="24"/>
          <w:szCs w:val="24"/>
        </w:rPr>
        <w:fldChar w:fldCharType="begin"/>
      </w:r>
      <w:r w:rsidRPr="005A3C94">
        <w:rPr>
          <w:rFonts w:ascii="Times New Roman" w:hAnsi="Times New Roman" w:cs="Times New Roman"/>
          <w:sz w:val="24"/>
          <w:szCs w:val="24"/>
        </w:rPr>
        <w:instrText xml:space="preserve"> SEQ ábra \* ARABIC </w:instrText>
      </w:r>
      <w:r w:rsidRPr="005A3C94">
        <w:rPr>
          <w:rFonts w:ascii="Times New Roman" w:hAnsi="Times New Roman" w:cs="Times New Roman"/>
          <w:sz w:val="24"/>
          <w:szCs w:val="24"/>
        </w:rPr>
        <w:fldChar w:fldCharType="separate"/>
      </w:r>
      <w:r w:rsidR="00483414" w:rsidRPr="005A3C94">
        <w:rPr>
          <w:rFonts w:ascii="Times New Roman" w:hAnsi="Times New Roman" w:cs="Times New Roman"/>
          <w:noProof/>
          <w:sz w:val="24"/>
          <w:szCs w:val="24"/>
        </w:rPr>
        <w:t>7</w:t>
      </w:r>
      <w:r w:rsidRPr="005A3C94">
        <w:rPr>
          <w:rFonts w:ascii="Times New Roman" w:hAnsi="Times New Roman" w:cs="Times New Roman"/>
          <w:sz w:val="24"/>
          <w:szCs w:val="24"/>
        </w:rPr>
        <w:fldChar w:fldCharType="end"/>
      </w:r>
      <w:r w:rsidRPr="005A3C94">
        <w:t xml:space="preserve">. ábra: A </w:t>
      </w:r>
      <w:r w:rsidR="00832E9A" w:rsidRPr="005A3C94">
        <w:t xml:space="preserve">matematika feladatokra adott </w:t>
      </w:r>
      <w:r w:rsidRPr="005A3C94">
        <w:t>válaszok átlagos megoszlása a bemeneti és a kimeneti méréskor</w:t>
      </w:r>
    </w:p>
    <w:p w14:paraId="7C58A9E1" w14:textId="1BFE6AC8" w:rsidR="00596F38" w:rsidRPr="005A3C94" w:rsidRDefault="00596F38" w:rsidP="008C67D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Azt látjuk, hogy a jó válaszok számának növekedése mellett csökkent a hiányzó válaszok átlagos száma a kísérleti csoportban, és valamivel nőtt a rossz válaszok száma. Ezt magyarázhatja az, hogy a programban résztvevő diákok, bele mertek kezdeni a feladatok megoldásába, még akkor is, ha nem voltak biztosak benne, hogy hogyan kell azokat megoldani, azaz nőtt a matematikai magabiztosságuk.</w:t>
      </w:r>
    </w:p>
    <w:p w14:paraId="1E8EC589" w14:textId="11AC3606" w:rsidR="00BC19C9" w:rsidRPr="005A3C94" w:rsidRDefault="00596F38" w:rsidP="00355FB5">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A 14-15. táblázat azt vizsgálja, hogy a feladatok megoldásának van-e kapcsolata a diákok szociális hátterével.</w:t>
      </w:r>
      <w:r w:rsidR="001066DC" w:rsidRPr="005A3C94">
        <w:rPr>
          <w:rFonts w:ascii="Times New Roman" w:hAnsi="Times New Roman" w:cs="Times New Roman"/>
          <w:sz w:val="24"/>
          <w:szCs w:val="24"/>
        </w:rPr>
        <w:t xml:space="preserve"> A kimeneti </w:t>
      </w:r>
      <w:r w:rsidR="00355FB5" w:rsidRPr="005A3C94">
        <w:rPr>
          <w:rFonts w:ascii="Times New Roman" w:hAnsi="Times New Roman" w:cs="Times New Roman"/>
          <w:sz w:val="24"/>
          <w:szCs w:val="24"/>
        </w:rPr>
        <w:t xml:space="preserve">mérés eredményei alapján az látszik, hogy a kísérleti csoport </w:t>
      </w:r>
      <w:proofErr w:type="spellStart"/>
      <w:r w:rsidR="00355FB5" w:rsidRPr="005A3C94">
        <w:rPr>
          <w:rFonts w:ascii="Times New Roman" w:hAnsi="Times New Roman" w:cs="Times New Roman"/>
          <w:sz w:val="24"/>
          <w:szCs w:val="24"/>
        </w:rPr>
        <w:t>legjómódúbb</w:t>
      </w:r>
      <w:proofErr w:type="spellEnd"/>
      <w:r w:rsidR="00355FB5" w:rsidRPr="005A3C94">
        <w:rPr>
          <w:rFonts w:ascii="Times New Roman" w:hAnsi="Times New Roman" w:cs="Times New Roman"/>
          <w:sz w:val="24"/>
          <w:szCs w:val="24"/>
        </w:rPr>
        <w:t xml:space="preserve"> környezetből származó tagjai azok, akik körében jelentősen megnőtt a helyesen megoldott feladatok száma, ugyanakkor a szerényebb háttérrel rendelkező diákoknál is csökkent a hiányzó válaszok száma, azaz ők is bátrabban bele mertek kezdeni a feladatok megoldásába.</w:t>
      </w:r>
    </w:p>
    <w:p w14:paraId="27859127" w14:textId="3AE3E1D9" w:rsidR="00AB07AD" w:rsidRPr="005A3C94" w:rsidRDefault="00DF1D13" w:rsidP="00AB07AD">
      <w:pPr>
        <w:pStyle w:val="Kpalrs"/>
        <w:keepNext/>
        <w:rPr>
          <w:u w:val="single"/>
        </w:rPr>
      </w:pPr>
      <w:r>
        <w:fldChar w:fldCharType="begin"/>
      </w:r>
      <w:r>
        <w:instrText xml:space="preserve"> SEQ táblázat \* ARABIC </w:instrText>
      </w:r>
      <w:r>
        <w:fldChar w:fldCharType="separate"/>
      </w:r>
      <w:r w:rsidR="00DC5809">
        <w:rPr>
          <w:noProof/>
        </w:rPr>
        <w:t>14</w:t>
      </w:r>
      <w:r>
        <w:rPr>
          <w:noProof/>
        </w:rPr>
        <w:fldChar w:fldCharType="end"/>
      </w:r>
      <w:r w:rsidR="00AB07AD" w:rsidRPr="005A3C94">
        <w:t xml:space="preserve">. táblázat: A matematika válaszok átlagos standardizált megoszlása a család vagyoni helyzete alapján </w:t>
      </w:r>
      <w:r w:rsidR="00AB07AD" w:rsidRPr="005A3C94">
        <w:rPr>
          <w:u w:val="single"/>
        </w:rPr>
        <w:t>bemenetkor</w:t>
      </w:r>
    </w:p>
    <w:tbl>
      <w:tblPr>
        <w:tblW w:w="7372" w:type="dxa"/>
        <w:jc w:val="center"/>
        <w:tblCellMar>
          <w:left w:w="70" w:type="dxa"/>
          <w:right w:w="70" w:type="dxa"/>
        </w:tblCellMar>
        <w:tblLook w:val="04A0" w:firstRow="1" w:lastRow="0" w:firstColumn="1" w:lastColumn="0" w:noHBand="0" w:noVBand="1"/>
      </w:tblPr>
      <w:tblGrid>
        <w:gridCol w:w="1129"/>
        <w:gridCol w:w="1843"/>
        <w:gridCol w:w="1701"/>
        <w:gridCol w:w="1276"/>
        <w:gridCol w:w="1423"/>
      </w:tblGrid>
      <w:tr w:rsidR="001066DC" w:rsidRPr="005A3C94" w14:paraId="183FCBC9" w14:textId="77777777" w:rsidTr="001066DC">
        <w:trPr>
          <w:trHeight w:val="63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D91B7" w14:textId="77777777" w:rsidR="001066DC" w:rsidRPr="005A3C94" w:rsidRDefault="001066DC" w:rsidP="001066DC">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C9BC77C"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Kontroll/kísérleti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F40CE1D"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Helyes válasz</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302838" w14:textId="77777777" w:rsidR="001066DC" w:rsidRPr="005A3C94" w:rsidRDefault="001066DC" w:rsidP="001066DC">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Rossz válasz</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5683C595" w14:textId="77777777" w:rsidR="001066DC" w:rsidRPr="005A3C94" w:rsidRDefault="001066DC" w:rsidP="001066DC">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Nincs válasz</w:t>
            </w:r>
          </w:p>
        </w:tc>
      </w:tr>
      <w:tr w:rsidR="001066DC" w:rsidRPr="005A3C94" w14:paraId="5130F2C4" w14:textId="77777777" w:rsidTr="001066DC">
        <w:trPr>
          <w:trHeight w:val="315"/>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62798BA6" w14:textId="77777777" w:rsidR="001066DC" w:rsidRPr="005A3C94" w:rsidRDefault="001066DC" w:rsidP="001066DC">
            <w:pPr>
              <w:spacing w:after="0" w:line="240" w:lineRule="auto"/>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 tárgy</w:t>
            </w:r>
          </w:p>
        </w:tc>
        <w:tc>
          <w:tcPr>
            <w:tcW w:w="1843" w:type="dxa"/>
            <w:tcBorders>
              <w:top w:val="nil"/>
              <w:left w:val="nil"/>
              <w:bottom w:val="single" w:sz="4" w:space="0" w:color="auto"/>
              <w:right w:val="single" w:sz="4" w:space="0" w:color="auto"/>
            </w:tcBorders>
            <w:shd w:val="clear" w:color="auto" w:fill="auto"/>
            <w:vAlign w:val="center"/>
            <w:hideMark/>
          </w:tcPr>
          <w:p w14:paraId="6BEF50E5"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701" w:type="dxa"/>
            <w:tcBorders>
              <w:top w:val="nil"/>
              <w:left w:val="nil"/>
              <w:bottom w:val="single" w:sz="4" w:space="0" w:color="auto"/>
              <w:right w:val="single" w:sz="4" w:space="0" w:color="auto"/>
            </w:tcBorders>
            <w:shd w:val="clear" w:color="auto" w:fill="auto"/>
            <w:vAlign w:val="center"/>
            <w:hideMark/>
          </w:tcPr>
          <w:p w14:paraId="56FF491E"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-0,604</w:t>
            </w:r>
          </w:p>
        </w:tc>
        <w:tc>
          <w:tcPr>
            <w:tcW w:w="1276" w:type="dxa"/>
            <w:tcBorders>
              <w:top w:val="nil"/>
              <w:left w:val="nil"/>
              <w:bottom w:val="single" w:sz="4" w:space="0" w:color="auto"/>
              <w:right w:val="single" w:sz="4" w:space="0" w:color="auto"/>
            </w:tcBorders>
            <w:shd w:val="clear" w:color="auto" w:fill="auto"/>
            <w:vAlign w:val="center"/>
            <w:hideMark/>
          </w:tcPr>
          <w:p w14:paraId="1AA4DB58"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0,294</w:t>
            </w:r>
          </w:p>
        </w:tc>
        <w:tc>
          <w:tcPr>
            <w:tcW w:w="1423" w:type="dxa"/>
            <w:tcBorders>
              <w:top w:val="nil"/>
              <w:left w:val="nil"/>
              <w:bottom w:val="single" w:sz="4" w:space="0" w:color="auto"/>
              <w:right w:val="single" w:sz="4" w:space="0" w:color="auto"/>
            </w:tcBorders>
            <w:shd w:val="clear" w:color="auto" w:fill="auto"/>
            <w:vAlign w:val="center"/>
            <w:hideMark/>
          </w:tcPr>
          <w:p w14:paraId="417F7178"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0,327</w:t>
            </w:r>
          </w:p>
        </w:tc>
      </w:tr>
      <w:tr w:rsidR="001066DC" w:rsidRPr="005A3C94" w14:paraId="38E9F6C2" w14:textId="77777777" w:rsidTr="001066DC">
        <w:trPr>
          <w:trHeight w:val="315"/>
          <w:jc w:val="center"/>
        </w:trPr>
        <w:tc>
          <w:tcPr>
            <w:tcW w:w="1129" w:type="dxa"/>
            <w:vMerge/>
            <w:tcBorders>
              <w:top w:val="nil"/>
              <w:left w:val="single" w:sz="4" w:space="0" w:color="auto"/>
              <w:bottom w:val="single" w:sz="4" w:space="0" w:color="auto"/>
              <w:right w:val="single" w:sz="4" w:space="0" w:color="auto"/>
            </w:tcBorders>
            <w:vAlign w:val="center"/>
            <w:hideMark/>
          </w:tcPr>
          <w:p w14:paraId="5DDE31CD" w14:textId="77777777" w:rsidR="001066DC" w:rsidRPr="005A3C94" w:rsidRDefault="001066DC" w:rsidP="001066DC">
            <w:pPr>
              <w:spacing w:after="0" w:line="240" w:lineRule="auto"/>
              <w:rPr>
                <w:rFonts w:ascii="Calibri" w:eastAsia="Times New Roman" w:hAnsi="Calibri" w:cs="Times New Roman"/>
                <w:color w:val="000000"/>
                <w:sz w:val="24"/>
                <w:szCs w:val="24"/>
                <w:lang w:eastAsia="hu-HU"/>
              </w:rPr>
            </w:pPr>
          </w:p>
        </w:tc>
        <w:tc>
          <w:tcPr>
            <w:tcW w:w="1843" w:type="dxa"/>
            <w:tcBorders>
              <w:top w:val="nil"/>
              <w:left w:val="nil"/>
              <w:bottom w:val="single" w:sz="4" w:space="0" w:color="auto"/>
              <w:right w:val="single" w:sz="4" w:space="0" w:color="auto"/>
            </w:tcBorders>
            <w:shd w:val="clear" w:color="auto" w:fill="auto"/>
            <w:vAlign w:val="center"/>
            <w:hideMark/>
          </w:tcPr>
          <w:p w14:paraId="30297531"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701" w:type="dxa"/>
            <w:tcBorders>
              <w:top w:val="nil"/>
              <w:left w:val="nil"/>
              <w:bottom w:val="single" w:sz="4" w:space="0" w:color="auto"/>
              <w:right w:val="single" w:sz="4" w:space="0" w:color="auto"/>
            </w:tcBorders>
            <w:shd w:val="clear" w:color="auto" w:fill="auto"/>
            <w:vAlign w:val="center"/>
            <w:hideMark/>
          </w:tcPr>
          <w:p w14:paraId="4181ABF9"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0,294</w:t>
            </w:r>
          </w:p>
        </w:tc>
        <w:tc>
          <w:tcPr>
            <w:tcW w:w="1276" w:type="dxa"/>
            <w:tcBorders>
              <w:top w:val="nil"/>
              <w:left w:val="nil"/>
              <w:bottom w:val="single" w:sz="4" w:space="0" w:color="auto"/>
              <w:right w:val="single" w:sz="4" w:space="0" w:color="auto"/>
            </w:tcBorders>
            <w:shd w:val="clear" w:color="auto" w:fill="auto"/>
            <w:vAlign w:val="center"/>
            <w:hideMark/>
          </w:tcPr>
          <w:p w14:paraId="26AF3AC3"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-0,8</w:t>
            </w:r>
          </w:p>
        </w:tc>
        <w:tc>
          <w:tcPr>
            <w:tcW w:w="1423" w:type="dxa"/>
            <w:tcBorders>
              <w:top w:val="nil"/>
              <w:left w:val="nil"/>
              <w:bottom w:val="single" w:sz="4" w:space="0" w:color="auto"/>
              <w:right w:val="single" w:sz="4" w:space="0" w:color="auto"/>
            </w:tcBorders>
            <w:shd w:val="clear" w:color="auto" w:fill="auto"/>
            <w:vAlign w:val="center"/>
            <w:hideMark/>
          </w:tcPr>
          <w:p w14:paraId="2B6E135F"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-0,22</w:t>
            </w:r>
          </w:p>
        </w:tc>
      </w:tr>
      <w:tr w:rsidR="001066DC" w:rsidRPr="005A3C94" w14:paraId="1F96D4E1" w14:textId="77777777" w:rsidTr="001066DC">
        <w:trPr>
          <w:trHeight w:val="315"/>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02AC42C0"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3 tárgy</w:t>
            </w:r>
          </w:p>
        </w:tc>
        <w:tc>
          <w:tcPr>
            <w:tcW w:w="1843" w:type="dxa"/>
            <w:tcBorders>
              <w:top w:val="nil"/>
              <w:left w:val="nil"/>
              <w:bottom w:val="single" w:sz="4" w:space="0" w:color="auto"/>
              <w:right w:val="single" w:sz="4" w:space="0" w:color="auto"/>
            </w:tcBorders>
            <w:shd w:val="clear" w:color="auto" w:fill="auto"/>
            <w:vAlign w:val="center"/>
            <w:hideMark/>
          </w:tcPr>
          <w:p w14:paraId="25898429"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701" w:type="dxa"/>
            <w:tcBorders>
              <w:top w:val="nil"/>
              <w:left w:val="nil"/>
              <w:bottom w:val="single" w:sz="4" w:space="0" w:color="auto"/>
              <w:right w:val="single" w:sz="4" w:space="0" w:color="auto"/>
            </w:tcBorders>
            <w:shd w:val="clear" w:color="auto" w:fill="auto"/>
            <w:vAlign w:val="center"/>
            <w:hideMark/>
          </w:tcPr>
          <w:p w14:paraId="279FEC85"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0,261</w:t>
            </w:r>
          </w:p>
        </w:tc>
        <w:tc>
          <w:tcPr>
            <w:tcW w:w="1276" w:type="dxa"/>
            <w:tcBorders>
              <w:top w:val="nil"/>
              <w:left w:val="nil"/>
              <w:bottom w:val="single" w:sz="4" w:space="0" w:color="auto"/>
              <w:right w:val="single" w:sz="4" w:space="0" w:color="auto"/>
            </w:tcBorders>
            <w:shd w:val="clear" w:color="auto" w:fill="auto"/>
            <w:vAlign w:val="center"/>
            <w:hideMark/>
          </w:tcPr>
          <w:p w14:paraId="3D4169B5"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0,021</w:t>
            </w:r>
          </w:p>
        </w:tc>
        <w:tc>
          <w:tcPr>
            <w:tcW w:w="1423" w:type="dxa"/>
            <w:tcBorders>
              <w:top w:val="nil"/>
              <w:left w:val="nil"/>
              <w:bottom w:val="single" w:sz="4" w:space="0" w:color="auto"/>
              <w:right w:val="single" w:sz="4" w:space="0" w:color="auto"/>
            </w:tcBorders>
            <w:shd w:val="clear" w:color="auto" w:fill="auto"/>
            <w:vAlign w:val="center"/>
            <w:hideMark/>
          </w:tcPr>
          <w:p w14:paraId="118111DC"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-0,28</w:t>
            </w:r>
          </w:p>
        </w:tc>
      </w:tr>
      <w:tr w:rsidR="001066DC" w:rsidRPr="005A3C94" w14:paraId="7428635A" w14:textId="77777777" w:rsidTr="001066DC">
        <w:trPr>
          <w:trHeight w:val="315"/>
          <w:jc w:val="center"/>
        </w:trPr>
        <w:tc>
          <w:tcPr>
            <w:tcW w:w="1129" w:type="dxa"/>
            <w:vMerge/>
            <w:tcBorders>
              <w:top w:val="nil"/>
              <w:left w:val="single" w:sz="4" w:space="0" w:color="auto"/>
              <w:bottom w:val="single" w:sz="4" w:space="0" w:color="auto"/>
              <w:right w:val="single" w:sz="4" w:space="0" w:color="auto"/>
            </w:tcBorders>
            <w:vAlign w:val="center"/>
            <w:hideMark/>
          </w:tcPr>
          <w:p w14:paraId="787178CD" w14:textId="77777777" w:rsidR="001066DC" w:rsidRPr="005A3C94" w:rsidRDefault="001066DC" w:rsidP="001066DC">
            <w:pPr>
              <w:spacing w:after="0" w:line="240" w:lineRule="auto"/>
              <w:rPr>
                <w:rFonts w:ascii="Calibri" w:eastAsia="Times New Roman" w:hAnsi="Calibri" w:cs="Times New Roman"/>
                <w:color w:val="000000"/>
                <w:sz w:val="24"/>
                <w:szCs w:val="24"/>
                <w:lang w:eastAsia="hu-HU"/>
              </w:rPr>
            </w:pPr>
          </w:p>
        </w:tc>
        <w:tc>
          <w:tcPr>
            <w:tcW w:w="1843" w:type="dxa"/>
            <w:tcBorders>
              <w:top w:val="nil"/>
              <w:left w:val="nil"/>
              <w:bottom w:val="single" w:sz="4" w:space="0" w:color="auto"/>
              <w:right w:val="single" w:sz="4" w:space="0" w:color="auto"/>
            </w:tcBorders>
            <w:shd w:val="clear" w:color="auto" w:fill="auto"/>
            <w:vAlign w:val="center"/>
            <w:hideMark/>
          </w:tcPr>
          <w:p w14:paraId="3434521A"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701" w:type="dxa"/>
            <w:tcBorders>
              <w:top w:val="nil"/>
              <w:left w:val="nil"/>
              <w:bottom w:val="single" w:sz="4" w:space="0" w:color="auto"/>
              <w:right w:val="single" w:sz="4" w:space="0" w:color="auto"/>
            </w:tcBorders>
            <w:shd w:val="clear" w:color="auto" w:fill="auto"/>
            <w:vAlign w:val="center"/>
            <w:hideMark/>
          </w:tcPr>
          <w:p w14:paraId="563E6C36"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0,224</w:t>
            </w:r>
          </w:p>
        </w:tc>
        <w:tc>
          <w:tcPr>
            <w:tcW w:w="1276" w:type="dxa"/>
            <w:tcBorders>
              <w:top w:val="nil"/>
              <w:left w:val="nil"/>
              <w:bottom w:val="single" w:sz="4" w:space="0" w:color="auto"/>
              <w:right w:val="single" w:sz="4" w:space="0" w:color="auto"/>
            </w:tcBorders>
            <w:shd w:val="clear" w:color="auto" w:fill="auto"/>
            <w:vAlign w:val="center"/>
            <w:hideMark/>
          </w:tcPr>
          <w:p w14:paraId="33CA395F"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-0,113</w:t>
            </w:r>
          </w:p>
        </w:tc>
        <w:tc>
          <w:tcPr>
            <w:tcW w:w="1423" w:type="dxa"/>
            <w:tcBorders>
              <w:top w:val="nil"/>
              <w:left w:val="nil"/>
              <w:bottom w:val="single" w:sz="4" w:space="0" w:color="auto"/>
              <w:right w:val="single" w:sz="4" w:space="0" w:color="auto"/>
            </w:tcBorders>
            <w:shd w:val="clear" w:color="auto" w:fill="auto"/>
            <w:vAlign w:val="center"/>
            <w:hideMark/>
          </w:tcPr>
          <w:p w14:paraId="7007BE9C"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-0,12</w:t>
            </w:r>
          </w:p>
        </w:tc>
      </w:tr>
      <w:tr w:rsidR="001066DC" w:rsidRPr="005A3C94" w14:paraId="378CA43B" w14:textId="77777777" w:rsidTr="001066DC">
        <w:trPr>
          <w:trHeight w:val="315"/>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4C785720"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4 tárgy</w:t>
            </w:r>
          </w:p>
        </w:tc>
        <w:tc>
          <w:tcPr>
            <w:tcW w:w="1843" w:type="dxa"/>
            <w:tcBorders>
              <w:top w:val="nil"/>
              <w:left w:val="nil"/>
              <w:bottom w:val="single" w:sz="4" w:space="0" w:color="auto"/>
              <w:right w:val="single" w:sz="4" w:space="0" w:color="auto"/>
            </w:tcBorders>
            <w:shd w:val="clear" w:color="auto" w:fill="auto"/>
            <w:vAlign w:val="center"/>
            <w:hideMark/>
          </w:tcPr>
          <w:p w14:paraId="3FB341F7"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701" w:type="dxa"/>
            <w:tcBorders>
              <w:top w:val="nil"/>
              <w:left w:val="nil"/>
              <w:bottom w:val="single" w:sz="4" w:space="0" w:color="auto"/>
              <w:right w:val="single" w:sz="4" w:space="0" w:color="auto"/>
            </w:tcBorders>
            <w:shd w:val="clear" w:color="auto" w:fill="auto"/>
            <w:vAlign w:val="center"/>
            <w:hideMark/>
          </w:tcPr>
          <w:p w14:paraId="5AF66451"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-0,218</w:t>
            </w:r>
          </w:p>
        </w:tc>
        <w:tc>
          <w:tcPr>
            <w:tcW w:w="1276" w:type="dxa"/>
            <w:tcBorders>
              <w:top w:val="nil"/>
              <w:left w:val="nil"/>
              <w:bottom w:val="single" w:sz="4" w:space="0" w:color="auto"/>
              <w:right w:val="single" w:sz="4" w:space="0" w:color="auto"/>
            </w:tcBorders>
            <w:shd w:val="clear" w:color="auto" w:fill="auto"/>
            <w:vAlign w:val="center"/>
            <w:hideMark/>
          </w:tcPr>
          <w:p w14:paraId="39734B1F"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0,065</w:t>
            </w:r>
          </w:p>
        </w:tc>
        <w:tc>
          <w:tcPr>
            <w:tcW w:w="1423" w:type="dxa"/>
            <w:tcBorders>
              <w:top w:val="nil"/>
              <w:left w:val="nil"/>
              <w:bottom w:val="single" w:sz="4" w:space="0" w:color="auto"/>
              <w:right w:val="single" w:sz="4" w:space="0" w:color="auto"/>
            </w:tcBorders>
            <w:shd w:val="clear" w:color="auto" w:fill="auto"/>
            <w:vAlign w:val="center"/>
            <w:hideMark/>
          </w:tcPr>
          <w:p w14:paraId="1715B9FC"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0,162</w:t>
            </w:r>
          </w:p>
        </w:tc>
      </w:tr>
      <w:tr w:rsidR="001066DC" w:rsidRPr="005A3C94" w14:paraId="0B04A4EC" w14:textId="77777777" w:rsidTr="001066DC">
        <w:trPr>
          <w:trHeight w:val="315"/>
          <w:jc w:val="center"/>
        </w:trPr>
        <w:tc>
          <w:tcPr>
            <w:tcW w:w="1129" w:type="dxa"/>
            <w:vMerge/>
            <w:tcBorders>
              <w:top w:val="nil"/>
              <w:left w:val="single" w:sz="4" w:space="0" w:color="auto"/>
              <w:bottom w:val="single" w:sz="4" w:space="0" w:color="auto"/>
              <w:right w:val="single" w:sz="4" w:space="0" w:color="auto"/>
            </w:tcBorders>
            <w:vAlign w:val="center"/>
            <w:hideMark/>
          </w:tcPr>
          <w:p w14:paraId="2985414E" w14:textId="77777777" w:rsidR="001066DC" w:rsidRPr="005A3C94" w:rsidRDefault="001066DC" w:rsidP="001066DC">
            <w:pPr>
              <w:spacing w:after="0" w:line="240" w:lineRule="auto"/>
              <w:rPr>
                <w:rFonts w:ascii="Calibri" w:eastAsia="Times New Roman" w:hAnsi="Calibri" w:cs="Times New Roman"/>
                <w:color w:val="000000"/>
                <w:sz w:val="24"/>
                <w:szCs w:val="24"/>
                <w:lang w:eastAsia="hu-HU"/>
              </w:rPr>
            </w:pPr>
          </w:p>
        </w:tc>
        <w:tc>
          <w:tcPr>
            <w:tcW w:w="1843" w:type="dxa"/>
            <w:tcBorders>
              <w:top w:val="nil"/>
              <w:left w:val="nil"/>
              <w:bottom w:val="single" w:sz="4" w:space="0" w:color="auto"/>
              <w:right w:val="single" w:sz="4" w:space="0" w:color="auto"/>
            </w:tcBorders>
            <w:shd w:val="clear" w:color="auto" w:fill="auto"/>
            <w:vAlign w:val="center"/>
            <w:hideMark/>
          </w:tcPr>
          <w:p w14:paraId="782706F4"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701" w:type="dxa"/>
            <w:tcBorders>
              <w:top w:val="nil"/>
              <w:left w:val="nil"/>
              <w:bottom w:val="single" w:sz="4" w:space="0" w:color="auto"/>
              <w:right w:val="single" w:sz="4" w:space="0" w:color="auto"/>
            </w:tcBorders>
            <w:shd w:val="clear" w:color="auto" w:fill="auto"/>
            <w:vAlign w:val="center"/>
            <w:hideMark/>
          </w:tcPr>
          <w:p w14:paraId="0C42B2A2"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0,573</w:t>
            </w:r>
          </w:p>
        </w:tc>
        <w:tc>
          <w:tcPr>
            <w:tcW w:w="1276" w:type="dxa"/>
            <w:tcBorders>
              <w:top w:val="nil"/>
              <w:left w:val="nil"/>
              <w:bottom w:val="single" w:sz="4" w:space="0" w:color="auto"/>
              <w:right w:val="single" w:sz="4" w:space="0" w:color="auto"/>
            </w:tcBorders>
            <w:shd w:val="clear" w:color="auto" w:fill="auto"/>
            <w:vAlign w:val="center"/>
            <w:hideMark/>
          </w:tcPr>
          <w:p w14:paraId="75CBAB38"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-0,465</w:t>
            </w:r>
          </w:p>
        </w:tc>
        <w:tc>
          <w:tcPr>
            <w:tcW w:w="1423" w:type="dxa"/>
            <w:tcBorders>
              <w:top w:val="nil"/>
              <w:left w:val="nil"/>
              <w:bottom w:val="single" w:sz="4" w:space="0" w:color="auto"/>
              <w:right w:val="single" w:sz="4" w:space="0" w:color="auto"/>
            </w:tcBorders>
            <w:shd w:val="clear" w:color="auto" w:fill="auto"/>
            <w:vAlign w:val="center"/>
            <w:hideMark/>
          </w:tcPr>
          <w:p w14:paraId="2174704B"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-0,144</w:t>
            </w:r>
          </w:p>
        </w:tc>
      </w:tr>
      <w:tr w:rsidR="001066DC" w:rsidRPr="005A3C94" w14:paraId="5A8412F6" w14:textId="77777777" w:rsidTr="001066DC">
        <w:trPr>
          <w:trHeight w:val="315"/>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4C37A3A3"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5 tárgy</w:t>
            </w:r>
          </w:p>
        </w:tc>
        <w:tc>
          <w:tcPr>
            <w:tcW w:w="1843" w:type="dxa"/>
            <w:tcBorders>
              <w:top w:val="nil"/>
              <w:left w:val="nil"/>
              <w:bottom w:val="single" w:sz="4" w:space="0" w:color="auto"/>
              <w:right w:val="single" w:sz="4" w:space="0" w:color="auto"/>
            </w:tcBorders>
            <w:shd w:val="clear" w:color="auto" w:fill="auto"/>
            <w:vAlign w:val="center"/>
            <w:hideMark/>
          </w:tcPr>
          <w:p w14:paraId="0D8D7D02"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701" w:type="dxa"/>
            <w:tcBorders>
              <w:top w:val="nil"/>
              <w:left w:val="nil"/>
              <w:bottom w:val="single" w:sz="4" w:space="0" w:color="auto"/>
              <w:right w:val="single" w:sz="4" w:space="0" w:color="auto"/>
            </w:tcBorders>
            <w:shd w:val="clear" w:color="auto" w:fill="auto"/>
            <w:vAlign w:val="center"/>
            <w:hideMark/>
          </w:tcPr>
          <w:p w14:paraId="08017292"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-1,336</w:t>
            </w:r>
          </w:p>
        </w:tc>
        <w:tc>
          <w:tcPr>
            <w:tcW w:w="1276" w:type="dxa"/>
            <w:tcBorders>
              <w:top w:val="nil"/>
              <w:left w:val="nil"/>
              <w:bottom w:val="single" w:sz="4" w:space="0" w:color="auto"/>
              <w:right w:val="single" w:sz="4" w:space="0" w:color="auto"/>
            </w:tcBorders>
            <w:shd w:val="clear" w:color="auto" w:fill="auto"/>
            <w:vAlign w:val="center"/>
            <w:hideMark/>
          </w:tcPr>
          <w:p w14:paraId="3A951166"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0,934</w:t>
            </w:r>
          </w:p>
        </w:tc>
        <w:tc>
          <w:tcPr>
            <w:tcW w:w="1423" w:type="dxa"/>
            <w:tcBorders>
              <w:top w:val="nil"/>
              <w:left w:val="nil"/>
              <w:bottom w:val="single" w:sz="4" w:space="0" w:color="auto"/>
              <w:right w:val="single" w:sz="4" w:space="0" w:color="auto"/>
            </w:tcBorders>
            <w:shd w:val="clear" w:color="auto" w:fill="auto"/>
            <w:vAlign w:val="center"/>
            <w:hideMark/>
          </w:tcPr>
          <w:p w14:paraId="03C93F0A"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0,483</w:t>
            </w:r>
          </w:p>
        </w:tc>
      </w:tr>
      <w:tr w:rsidR="001066DC" w:rsidRPr="005A3C94" w14:paraId="6FD46A7D" w14:textId="77777777" w:rsidTr="001066DC">
        <w:trPr>
          <w:trHeight w:val="315"/>
          <w:jc w:val="center"/>
        </w:trPr>
        <w:tc>
          <w:tcPr>
            <w:tcW w:w="1129" w:type="dxa"/>
            <w:vMerge/>
            <w:tcBorders>
              <w:top w:val="nil"/>
              <w:left w:val="single" w:sz="4" w:space="0" w:color="auto"/>
              <w:bottom w:val="single" w:sz="4" w:space="0" w:color="auto"/>
              <w:right w:val="single" w:sz="4" w:space="0" w:color="auto"/>
            </w:tcBorders>
            <w:vAlign w:val="center"/>
            <w:hideMark/>
          </w:tcPr>
          <w:p w14:paraId="17D84747" w14:textId="77777777" w:rsidR="001066DC" w:rsidRPr="005A3C94" w:rsidRDefault="001066DC" w:rsidP="001066DC">
            <w:pPr>
              <w:spacing w:after="0" w:line="240" w:lineRule="auto"/>
              <w:rPr>
                <w:rFonts w:ascii="Calibri" w:eastAsia="Times New Roman" w:hAnsi="Calibri" w:cs="Times New Roman"/>
                <w:color w:val="000000"/>
                <w:sz w:val="24"/>
                <w:szCs w:val="24"/>
                <w:lang w:eastAsia="hu-HU"/>
              </w:rPr>
            </w:pPr>
          </w:p>
        </w:tc>
        <w:tc>
          <w:tcPr>
            <w:tcW w:w="1843" w:type="dxa"/>
            <w:tcBorders>
              <w:top w:val="nil"/>
              <w:left w:val="nil"/>
              <w:bottom w:val="single" w:sz="4" w:space="0" w:color="auto"/>
              <w:right w:val="single" w:sz="4" w:space="0" w:color="auto"/>
            </w:tcBorders>
            <w:shd w:val="clear" w:color="auto" w:fill="auto"/>
            <w:vAlign w:val="center"/>
            <w:hideMark/>
          </w:tcPr>
          <w:p w14:paraId="5F333573"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701" w:type="dxa"/>
            <w:tcBorders>
              <w:top w:val="nil"/>
              <w:left w:val="nil"/>
              <w:bottom w:val="single" w:sz="4" w:space="0" w:color="auto"/>
              <w:right w:val="single" w:sz="4" w:space="0" w:color="auto"/>
            </w:tcBorders>
            <w:shd w:val="clear" w:color="auto" w:fill="auto"/>
            <w:vAlign w:val="center"/>
            <w:hideMark/>
          </w:tcPr>
          <w:p w14:paraId="4A9661A1"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-0,066</w:t>
            </w:r>
          </w:p>
        </w:tc>
        <w:tc>
          <w:tcPr>
            <w:tcW w:w="1276" w:type="dxa"/>
            <w:tcBorders>
              <w:top w:val="nil"/>
              <w:left w:val="nil"/>
              <w:bottom w:val="single" w:sz="4" w:space="0" w:color="auto"/>
              <w:right w:val="single" w:sz="4" w:space="0" w:color="auto"/>
            </w:tcBorders>
            <w:shd w:val="clear" w:color="auto" w:fill="auto"/>
            <w:vAlign w:val="center"/>
            <w:hideMark/>
          </w:tcPr>
          <w:p w14:paraId="062C4A10"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0,084</w:t>
            </w:r>
          </w:p>
        </w:tc>
        <w:tc>
          <w:tcPr>
            <w:tcW w:w="1423" w:type="dxa"/>
            <w:tcBorders>
              <w:top w:val="nil"/>
              <w:left w:val="nil"/>
              <w:bottom w:val="single" w:sz="4" w:space="0" w:color="auto"/>
              <w:right w:val="single" w:sz="4" w:space="0" w:color="auto"/>
            </w:tcBorders>
            <w:shd w:val="clear" w:color="auto" w:fill="auto"/>
            <w:vAlign w:val="center"/>
            <w:hideMark/>
          </w:tcPr>
          <w:p w14:paraId="6C2202DB"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-0,009</w:t>
            </w:r>
          </w:p>
        </w:tc>
      </w:tr>
      <w:tr w:rsidR="001066DC" w:rsidRPr="005A3C94" w14:paraId="207BF3FD" w14:textId="77777777" w:rsidTr="001066DC">
        <w:trPr>
          <w:trHeight w:val="315"/>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43064302"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Total</w:t>
            </w:r>
          </w:p>
        </w:tc>
        <w:tc>
          <w:tcPr>
            <w:tcW w:w="1843" w:type="dxa"/>
            <w:tcBorders>
              <w:top w:val="nil"/>
              <w:left w:val="nil"/>
              <w:bottom w:val="single" w:sz="4" w:space="0" w:color="auto"/>
              <w:right w:val="single" w:sz="4" w:space="0" w:color="auto"/>
            </w:tcBorders>
            <w:shd w:val="clear" w:color="auto" w:fill="auto"/>
            <w:vAlign w:val="center"/>
            <w:hideMark/>
          </w:tcPr>
          <w:p w14:paraId="62457878"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701" w:type="dxa"/>
            <w:tcBorders>
              <w:top w:val="nil"/>
              <w:left w:val="nil"/>
              <w:bottom w:val="single" w:sz="4" w:space="0" w:color="auto"/>
              <w:right w:val="single" w:sz="4" w:space="0" w:color="auto"/>
            </w:tcBorders>
            <w:shd w:val="clear" w:color="auto" w:fill="auto"/>
            <w:vAlign w:val="center"/>
            <w:hideMark/>
          </w:tcPr>
          <w:p w14:paraId="1E2B7E25"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-0,238</w:t>
            </w:r>
          </w:p>
        </w:tc>
        <w:tc>
          <w:tcPr>
            <w:tcW w:w="1276" w:type="dxa"/>
            <w:tcBorders>
              <w:top w:val="nil"/>
              <w:left w:val="nil"/>
              <w:bottom w:val="single" w:sz="4" w:space="0" w:color="auto"/>
              <w:right w:val="single" w:sz="4" w:space="0" w:color="auto"/>
            </w:tcBorders>
            <w:shd w:val="clear" w:color="auto" w:fill="auto"/>
            <w:vAlign w:val="center"/>
            <w:hideMark/>
          </w:tcPr>
          <w:p w14:paraId="05931029"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0,163</w:t>
            </w:r>
          </w:p>
        </w:tc>
        <w:tc>
          <w:tcPr>
            <w:tcW w:w="1423" w:type="dxa"/>
            <w:tcBorders>
              <w:top w:val="nil"/>
              <w:left w:val="nil"/>
              <w:bottom w:val="single" w:sz="4" w:space="0" w:color="auto"/>
              <w:right w:val="single" w:sz="4" w:space="0" w:color="auto"/>
            </w:tcBorders>
            <w:shd w:val="clear" w:color="auto" w:fill="auto"/>
            <w:vAlign w:val="center"/>
            <w:hideMark/>
          </w:tcPr>
          <w:p w14:paraId="75DFA9A4"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0,086</w:t>
            </w:r>
          </w:p>
        </w:tc>
      </w:tr>
      <w:tr w:rsidR="001066DC" w:rsidRPr="005A3C94" w14:paraId="352F0CCD" w14:textId="77777777" w:rsidTr="001066DC">
        <w:trPr>
          <w:trHeight w:val="315"/>
          <w:jc w:val="center"/>
        </w:trPr>
        <w:tc>
          <w:tcPr>
            <w:tcW w:w="1129" w:type="dxa"/>
            <w:vMerge/>
            <w:tcBorders>
              <w:top w:val="nil"/>
              <w:left w:val="single" w:sz="4" w:space="0" w:color="auto"/>
              <w:bottom w:val="single" w:sz="4" w:space="0" w:color="auto"/>
              <w:right w:val="single" w:sz="4" w:space="0" w:color="auto"/>
            </w:tcBorders>
            <w:vAlign w:val="center"/>
            <w:hideMark/>
          </w:tcPr>
          <w:p w14:paraId="4E4BEAAE" w14:textId="77777777" w:rsidR="001066DC" w:rsidRPr="005A3C94" w:rsidRDefault="001066DC" w:rsidP="001066DC">
            <w:pPr>
              <w:spacing w:after="0" w:line="240" w:lineRule="auto"/>
              <w:rPr>
                <w:rFonts w:ascii="Calibri" w:eastAsia="Times New Roman" w:hAnsi="Calibri" w:cs="Times New Roman"/>
                <w:color w:val="000000"/>
                <w:sz w:val="24"/>
                <w:szCs w:val="24"/>
                <w:lang w:eastAsia="hu-HU"/>
              </w:rPr>
            </w:pPr>
          </w:p>
        </w:tc>
        <w:tc>
          <w:tcPr>
            <w:tcW w:w="1843" w:type="dxa"/>
            <w:tcBorders>
              <w:top w:val="nil"/>
              <w:left w:val="nil"/>
              <w:bottom w:val="single" w:sz="4" w:space="0" w:color="auto"/>
              <w:right w:val="single" w:sz="4" w:space="0" w:color="auto"/>
            </w:tcBorders>
            <w:shd w:val="clear" w:color="auto" w:fill="auto"/>
            <w:vAlign w:val="center"/>
            <w:hideMark/>
          </w:tcPr>
          <w:p w14:paraId="5176F0C6"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701" w:type="dxa"/>
            <w:tcBorders>
              <w:top w:val="nil"/>
              <w:left w:val="nil"/>
              <w:bottom w:val="single" w:sz="4" w:space="0" w:color="auto"/>
              <w:right w:val="single" w:sz="4" w:space="0" w:color="auto"/>
            </w:tcBorders>
            <w:shd w:val="clear" w:color="auto" w:fill="auto"/>
            <w:vAlign w:val="center"/>
            <w:hideMark/>
          </w:tcPr>
          <w:p w14:paraId="5AFFB46B"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0,288</w:t>
            </w:r>
          </w:p>
        </w:tc>
        <w:tc>
          <w:tcPr>
            <w:tcW w:w="1276" w:type="dxa"/>
            <w:tcBorders>
              <w:top w:val="nil"/>
              <w:left w:val="nil"/>
              <w:bottom w:val="single" w:sz="4" w:space="0" w:color="auto"/>
              <w:right w:val="single" w:sz="4" w:space="0" w:color="auto"/>
            </w:tcBorders>
            <w:shd w:val="clear" w:color="auto" w:fill="auto"/>
            <w:vAlign w:val="center"/>
            <w:hideMark/>
          </w:tcPr>
          <w:p w14:paraId="1EB95A92"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-0,187</w:t>
            </w:r>
          </w:p>
        </w:tc>
        <w:tc>
          <w:tcPr>
            <w:tcW w:w="1423" w:type="dxa"/>
            <w:tcBorders>
              <w:top w:val="nil"/>
              <w:left w:val="nil"/>
              <w:bottom w:val="single" w:sz="4" w:space="0" w:color="auto"/>
              <w:right w:val="single" w:sz="4" w:space="0" w:color="auto"/>
            </w:tcBorders>
            <w:shd w:val="clear" w:color="auto" w:fill="auto"/>
            <w:vAlign w:val="center"/>
            <w:hideMark/>
          </w:tcPr>
          <w:p w14:paraId="47D44384"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-0,115</w:t>
            </w:r>
          </w:p>
        </w:tc>
      </w:tr>
    </w:tbl>
    <w:p w14:paraId="3BE77438" w14:textId="37FC0241" w:rsidR="00BC19C9" w:rsidRPr="005A3C94" w:rsidRDefault="00942977" w:rsidP="008C67D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ab/>
        <w:t>*</w:t>
      </w:r>
      <w:r w:rsidRPr="005A3C94">
        <w:rPr>
          <w:rFonts w:ascii="Times New Roman" w:hAnsi="Times New Roman" w:cs="Times New Roman"/>
          <w:sz w:val="20"/>
          <w:szCs w:val="24"/>
        </w:rPr>
        <w:t>alacsony esetszám, cellánként 1 eset</w:t>
      </w:r>
    </w:p>
    <w:p w14:paraId="09C74D0A" w14:textId="1838D61C" w:rsidR="00AB07AD" w:rsidRPr="005A3C94" w:rsidRDefault="00DF1D13" w:rsidP="00AB07AD">
      <w:pPr>
        <w:pStyle w:val="Kpalrs"/>
        <w:keepNext/>
        <w:rPr>
          <w:u w:val="single"/>
        </w:rPr>
      </w:pPr>
      <w:r>
        <w:fldChar w:fldCharType="begin"/>
      </w:r>
      <w:r>
        <w:instrText xml:space="preserve"> SEQ táblázat \* ARABIC </w:instrText>
      </w:r>
      <w:r>
        <w:fldChar w:fldCharType="separate"/>
      </w:r>
      <w:r w:rsidR="00DC5809">
        <w:rPr>
          <w:noProof/>
        </w:rPr>
        <w:t>15</w:t>
      </w:r>
      <w:r>
        <w:rPr>
          <w:noProof/>
        </w:rPr>
        <w:fldChar w:fldCharType="end"/>
      </w:r>
      <w:r w:rsidR="00AB07AD" w:rsidRPr="005A3C94">
        <w:t xml:space="preserve">. táblázat: A matematika válaszok átlagos standardizált megoszlása a család vagyoni helyzete alapján </w:t>
      </w:r>
      <w:r w:rsidR="00AB07AD" w:rsidRPr="005A3C94">
        <w:rPr>
          <w:u w:val="single"/>
        </w:rPr>
        <w:t>kimenetkor</w:t>
      </w:r>
    </w:p>
    <w:tbl>
      <w:tblPr>
        <w:tblW w:w="7225" w:type="dxa"/>
        <w:jc w:val="center"/>
        <w:tblCellMar>
          <w:left w:w="70" w:type="dxa"/>
          <w:right w:w="70" w:type="dxa"/>
        </w:tblCellMar>
        <w:tblLook w:val="04A0" w:firstRow="1" w:lastRow="0" w:firstColumn="1" w:lastColumn="0" w:noHBand="0" w:noVBand="1"/>
      </w:tblPr>
      <w:tblGrid>
        <w:gridCol w:w="870"/>
        <w:gridCol w:w="1960"/>
        <w:gridCol w:w="1701"/>
        <w:gridCol w:w="1418"/>
        <w:gridCol w:w="1276"/>
      </w:tblGrid>
      <w:tr w:rsidR="001066DC" w:rsidRPr="005A3C94" w14:paraId="10A142B8" w14:textId="77777777" w:rsidTr="001066DC">
        <w:trPr>
          <w:trHeight w:val="630"/>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1B77B" w14:textId="77777777" w:rsidR="001066DC" w:rsidRPr="005A3C94" w:rsidRDefault="001066DC" w:rsidP="001066DC">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6098D74D" w14:textId="77777777" w:rsidR="001066DC" w:rsidRPr="005A3C94" w:rsidRDefault="001066DC" w:rsidP="001066DC">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Kontroll/kísérleti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2889B48" w14:textId="77777777" w:rsidR="001066DC" w:rsidRPr="005A3C94" w:rsidRDefault="001066DC" w:rsidP="001066DC">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Helyes válasz</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DBA1218" w14:textId="77777777" w:rsidR="001066DC" w:rsidRPr="005A3C94" w:rsidRDefault="001066DC" w:rsidP="001066DC">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Rossz válasz</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54DCA3" w14:textId="77777777" w:rsidR="001066DC" w:rsidRPr="005A3C94" w:rsidRDefault="001066DC" w:rsidP="001066DC">
            <w:pPr>
              <w:spacing w:after="0" w:line="240" w:lineRule="auto"/>
              <w:jc w:val="both"/>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Nincs válasz</w:t>
            </w:r>
          </w:p>
        </w:tc>
      </w:tr>
      <w:tr w:rsidR="001066DC" w:rsidRPr="005A3C94" w14:paraId="6F4344E4" w14:textId="77777777" w:rsidTr="001066DC">
        <w:trPr>
          <w:trHeight w:val="315"/>
          <w:jc w:val="center"/>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158936BB" w14:textId="77777777" w:rsidR="001066DC" w:rsidRPr="005A3C94" w:rsidRDefault="001066DC" w:rsidP="001066DC">
            <w:pPr>
              <w:spacing w:after="0" w:line="240" w:lineRule="auto"/>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 tárgy</w:t>
            </w:r>
          </w:p>
        </w:tc>
        <w:tc>
          <w:tcPr>
            <w:tcW w:w="1960" w:type="dxa"/>
            <w:tcBorders>
              <w:top w:val="nil"/>
              <w:left w:val="nil"/>
              <w:bottom w:val="single" w:sz="4" w:space="0" w:color="auto"/>
              <w:right w:val="single" w:sz="4" w:space="0" w:color="auto"/>
            </w:tcBorders>
            <w:shd w:val="clear" w:color="auto" w:fill="auto"/>
            <w:vAlign w:val="center"/>
            <w:hideMark/>
          </w:tcPr>
          <w:p w14:paraId="4C056C04"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701" w:type="dxa"/>
            <w:tcBorders>
              <w:top w:val="nil"/>
              <w:left w:val="nil"/>
              <w:bottom w:val="single" w:sz="4" w:space="0" w:color="auto"/>
              <w:right w:val="single" w:sz="4" w:space="0" w:color="auto"/>
            </w:tcBorders>
            <w:shd w:val="clear" w:color="auto" w:fill="auto"/>
            <w:vAlign w:val="center"/>
            <w:hideMark/>
          </w:tcPr>
          <w:p w14:paraId="070DA541"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-0,659</w:t>
            </w:r>
          </w:p>
        </w:tc>
        <w:tc>
          <w:tcPr>
            <w:tcW w:w="1418" w:type="dxa"/>
            <w:tcBorders>
              <w:top w:val="nil"/>
              <w:left w:val="nil"/>
              <w:bottom w:val="single" w:sz="4" w:space="0" w:color="auto"/>
              <w:right w:val="single" w:sz="4" w:space="0" w:color="auto"/>
            </w:tcBorders>
            <w:shd w:val="clear" w:color="auto" w:fill="auto"/>
            <w:vAlign w:val="center"/>
            <w:hideMark/>
          </w:tcPr>
          <w:p w14:paraId="31897340"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0,163</w:t>
            </w:r>
          </w:p>
        </w:tc>
        <w:tc>
          <w:tcPr>
            <w:tcW w:w="1276" w:type="dxa"/>
            <w:tcBorders>
              <w:top w:val="nil"/>
              <w:left w:val="nil"/>
              <w:bottom w:val="single" w:sz="4" w:space="0" w:color="auto"/>
              <w:right w:val="single" w:sz="4" w:space="0" w:color="auto"/>
            </w:tcBorders>
            <w:shd w:val="clear" w:color="000000" w:fill="E9ABAB"/>
            <w:vAlign w:val="center"/>
            <w:hideMark/>
          </w:tcPr>
          <w:p w14:paraId="0117206A"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0,657</w:t>
            </w:r>
          </w:p>
        </w:tc>
      </w:tr>
      <w:tr w:rsidR="001066DC" w:rsidRPr="005A3C94" w14:paraId="7020CF38" w14:textId="77777777" w:rsidTr="001066DC">
        <w:trPr>
          <w:trHeight w:val="315"/>
          <w:jc w:val="center"/>
        </w:trPr>
        <w:tc>
          <w:tcPr>
            <w:tcW w:w="870" w:type="dxa"/>
            <w:vMerge/>
            <w:tcBorders>
              <w:top w:val="nil"/>
              <w:left w:val="single" w:sz="4" w:space="0" w:color="auto"/>
              <w:bottom w:val="single" w:sz="4" w:space="0" w:color="auto"/>
              <w:right w:val="single" w:sz="4" w:space="0" w:color="auto"/>
            </w:tcBorders>
            <w:vAlign w:val="center"/>
            <w:hideMark/>
          </w:tcPr>
          <w:p w14:paraId="02B6DC7D" w14:textId="77777777" w:rsidR="001066DC" w:rsidRPr="005A3C94" w:rsidRDefault="001066DC" w:rsidP="001066DC">
            <w:pPr>
              <w:spacing w:after="0" w:line="240" w:lineRule="auto"/>
              <w:rPr>
                <w:rFonts w:ascii="Calibri" w:eastAsia="Times New Roman" w:hAnsi="Calibri" w:cs="Times New Roman"/>
                <w:color w:val="000000"/>
                <w:sz w:val="24"/>
                <w:szCs w:val="24"/>
                <w:lang w:eastAsia="hu-HU"/>
              </w:rPr>
            </w:pPr>
          </w:p>
        </w:tc>
        <w:tc>
          <w:tcPr>
            <w:tcW w:w="1960" w:type="dxa"/>
            <w:tcBorders>
              <w:top w:val="nil"/>
              <w:left w:val="nil"/>
              <w:bottom w:val="single" w:sz="4" w:space="0" w:color="auto"/>
              <w:right w:val="single" w:sz="4" w:space="0" w:color="auto"/>
            </w:tcBorders>
            <w:shd w:val="clear" w:color="auto" w:fill="auto"/>
            <w:vAlign w:val="center"/>
            <w:hideMark/>
          </w:tcPr>
          <w:p w14:paraId="3C355797"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701" w:type="dxa"/>
            <w:tcBorders>
              <w:top w:val="nil"/>
              <w:left w:val="nil"/>
              <w:bottom w:val="single" w:sz="4" w:space="0" w:color="auto"/>
              <w:right w:val="single" w:sz="4" w:space="0" w:color="auto"/>
            </w:tcBorders>
            <w:shd w:val="clear" w:color="000000" w:fill="E9ABAB"/>
            <w:vAlign w:val="center"/>
            <w:hideMark/>
          </w:tcPr>
          <w:p w14:paraId="656E0DD4"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-0,453</w:t>
            </w:r>
          </w:p>
        </w:tc>
        <w:tc>
          <w:tcPr>
            <w:tcW w:w="1418" w:type="dxa"/>
            <w:tcBorders>
              <w:top w:val="nil"/>
              <w:left w:val="nil"/>
              <w:bottom w:val="single" w:sz="4" w:space="0" w:color="auto"/>
              <w:right w:val="single" w:sz="4" w:space="0" w:color="auto"/>
            </w:tcBorders>
            <w:shd w:val="clear" w:color="000000" w:fill="E9ABAB"/>
            <w:vAlign w:val="center"/>
            <w:hideMark/>
          </w:tcPr>
          <w:p w14:paraId="4A1563EB"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-0,045</w:t>
            </w:r>
          </w:p>
        </w:tc>
        <w:tc>
          <w:tcPr>
            <w:tcW w:w="1276" w:type="dxa"/>
            <w:tcBorders>
              <w:top w:val="nil"/>
              <w:left w:val="nil"/>
              <w:bottom w:val="single" w:sz="4" w:space="0" w:color="auto"/>
              <w:right w:val="single" w:sz="4" w:space="0" w:color="auto"/>
            </w:tcBorders>
            <w:shd w:val="clear" w:color="000000" w:fill="E9ABAB"/>
            <w:vAlign w:val="center"/>
            <w:hideMark/>
          </w:tcPr>
          <w:p w14:paraId="31A70969"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-0,079</w:t>
            </w:r>
          </w:p>
        </w:tc>
      </w:tr>
      <w:tr w:rsidR="001066DC" w:rsidRPr="005A3C94" w14:paraId="70CB09D8" w14:textId="77777777" w:rsidTr="001066DC">
        <w:trPr>
          <w:trHeight w:val="315"/>
          <w:jc w:val="center"/>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35BA7B86"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3 tárgy</w:t>
            </w:r>
          </w:p>
        </w:tc>
        <w:tc>
          <w:tcPr>
            <w:tcW w:w="1960" w:type="dxa"/>
            <w:tcBorders>
              <w:top w:val="nil"/>
              <w:left w:val="nil"/>
              <w:bottom w:val="single" w:sz="4" w:space="0" w:color="auto"/>
              <w:right w:val="single" w:sz="4" w:space="0" w:color="auto"/>
            </w:tcBorders>
            <w:shd w:val="clear" w:color="auto" w:fill="auto"/>
            <w:vAlign w:val="center"/>
            <w:hideMark/>
          </w:tcPr>
          <w:p w14:paraId="4E2197F9"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701" w:type="dxa"/>
            <w:tcBorders>
              <w:top w:val="nil"/>
              <w:left w:val="nil"/>
              <w:bottom w:val="single" w:sz="4" w:space="0" w:color="auto"/>
              <w:right w:val="single" w:sz="4" w:space="0" w:color="auto"/>
            </w:tcBorders>
            <w:shd w:val="clear" w:color="000000" w:fill="E9ABAB"/>
            <w:vAlign w:val="center"/>
            <w:hideMark/>
          </w:tcPr>
          <w:p w14:paraId="79D0128E"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0,01</w:t>
            </w:r>
          </w:p>
        </w:tc>
        <w:tc>
          <w:tcPr>
            <w:tcW w:w="1418" w:type="dxa"/>
            <w:tcBorders>
              <w:top w:val="nil"/>
              <w:left w:val="nil"/>
              <w:bottom w:val="single" w:sz="4" w:space="0" w:color="auto"/>
              <w:right w:val="single" w:sz="4" w:space="0" w:color="auto"/>
            </w:tcBorders>
            <w:shd w:val="clear" w:color="000000" w:fill="C5E0B3"/>
            <w:vAlign w:val="center"/>
            <w:hideMark/>
          </w:tcPr>
          <w:p w14:paraId="3E64CF64"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-0,177</w:t>
            </w:r>
          </w:p>
        </w:tc>
        <w:tc>
          <w:tcPr>
            <w:tcW w:w="1276" w:type="dxa"/>
            <w:tcBorders>
              <w:top w:val="nil"/>
              <w:left w:val="nil"/>
              <w:bottom w:val="single" w:sz="4" w:space="0" w:color="auto"/>
              <w:right w:val="single" w:sz="4" w:space="0" w:color="auto"/>
            </w:tcBorders>
            <w:shd w:val="clear" w:color="000000" w:fill="E9ABAB"/>
            <w:vAlign w:val="center"/>
            <w:hideMark/>
          </w:tcPr>
          <w:p w14:paraId="3C750845"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0,349</w:t>
            </w:r>
          </w:p>
        </w:tc>
      </w:tr>
      <w:tr w:rsidR="001066DC" w:rsidRPr="005A3C94" w14:paraId="67C2EF5F" w14:textId="77777777" w:rsidTr="001066DC">
        <w:trPr>
          <w:trHeight w:val="315"/>
          <w:jc w:val="center"/>
        </w:trPr>
        <w:tc>
          <w:tcPr>
            <w:tcW w:w="870" w:type="dxa"/>
            <w:vMerge/>
            <w:tcBorders>
              <w:top w:val="nil"/>
              <w:left w:val="single" w:sz="4" w:space="0" w:color="auto"/>
              <w:bottom w:val="single" w:sz="4" w:space="0" w:color="auto"/>
              <w:right w:val="single" w:sz="4" w:space="0" w:color="auto"/>
            </w:tcBorders>
            <w:vAlign w:val="center"/>
            <w:hideMark/>
          </w:tcPr>
          <w:p w14:paraId="384587F3" w14:textId="77777777" w:rsidR="001066DC" w:rsidRPr="005A3C94" w:rsidRDefault="001066DC" w:rsidP="001066DC">
            <w:pPr>
              <w:spacing w:after="0" w:line="240" w:lineRule="auto"/>
              <w:rPr>
                <w:rFonts w:ascii="Calibri" w:eastAsia="Times New Roman" w:hAnsi="Calibri" w:cs="Times New Roman"/>
                <w:color w:val="000000"/>
                <w:sz w:val="24"/>
                <w:szCs w:val="24"/>
                <w:lang w:eastAsia="hu-HU"/>
              </w:rPr>
            </w:pPr>
          </w:p>
        </w:tc>
        <w:tc>
          <w:tcPr>
            <w:tcW w:w="1960" w:type="dxa"/>
            <w:tcBorders>
              <w:top w:val="nil"/>
              <w:left w:val="nil"/>
              <w:bottom w:val="single" w:sz="4" w:space="0" w:color="auto"/>
              <w:right w:val="single" w:sz="4" w:space="0" w:color="auto"/>
            </w:tcBorders>
            <w:shd w:val="clear" w:color="auto" w:fill="auto"/>
            <w:vAlign w:val="center"/>
            <w:hideMark/>
          </w:tcPr>
          <w:p w14:paraId="5E7D3F15"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701" w:type="dxa"/>
            <w:tcBorders>
              <w:top w:val="nil"/>
              <w:left w:val="nil"/>
              <w:bottom w:val="single" w:sz="4" w:space="0" w:color="auto"/>
              <w:right w:val="single" w:sz="4" w:space="0" w:color="auto"/>
            </w:tcBorders>
            <w:shd w:val="clear" w:color="000000" w:fill="E9ABAB"/>
            <w:vAlign w:val="center"/>
            <w:hideMark/>
          </w:tcPr>
          <w:p w14:paraId="05E9DF40"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0,574</w:t>
            </w:r>
          </w:p>
        </w:tc>
        <w:tc>
          <w:tcPr>
            <w:tcW w:w="1418" w:type="dxa"/>
            <w:tcBorders>
              <w:top w:val="nil"/>
              <w:left w:val="nil"/>
              <w:bottom w:val="single" w:sz="4" w:space="0" w:color="auto"/>
              <w:right w:val="single" w:sz="4" w:space="0" w:color="auto"/>
            </w:tcBorders>
            <w:shd w:val="clear" w:color="000000" w:fill="E9ABAB"/>
            <w:vAlign w:val="center"/>
            <w:hideMark/>
          </w:tcPr>
          <w:p w14:paraId="78264CD3"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0,125</w:t>
            </w:r>
          </w:p>
        </w:tc>
        <w:tc>
          <w:tcPr>
            <w:tcW w:w="1276" w:type="dxa"/>
            <w:tcBorders>
              <w:top w:val="nil"/>
              <w:left w:val="nil"/>
              <w:bottom w:val="single" w:sz="4" w:space="0" w:color="auto"/>
              <w:right w:val="single" w:sz="4" w:space="0" w:color="auto"/>
            </w:tcBorders>
            <w:shd w:val="clear" w:color="000000" w:fill="C5E0B3"/>
            <w:vAlign w:val="center"/>
            <w:hideMark/>
          </w:tcPr>
          <w:p w14:paraId="705E2BCB"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-0,456</w:t>
            </w:r>
          </w:p>
        </w:tc>
      </w:tr>
      <w:tr w:rsidR="001066DC" w:rsidRPr="005A3C94" w14:paraId="7595941D" w14:textId="77777777" w:rsidTr="001066DC">
        <w:trPr>
          <w:trHeight w:val="315"/>
          <w:jc w:val="center"/>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3C660D9E"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4 tárgy</w:t>
            </w:r>
          </w:p>
        </w:tc>
        <w:tc>
          <w:tcPr>
            <w:tcW w:w="1960" w:type="dxa"/>
            <w:tcBorders>
              <w:top w:val="nil"/>
              <w:left w:val="nil"/>
              <w:bottom w:val="single" w:sz="4" w:space="0" w:color="auto"/>
              <w:right w:val="single" w:sz="4" w:space="0" w:color="auto"/>
            </w:tcBorders>
            <w:shd w:val="clear" w:color="auto" w:fill="auto"/>
            <w:vAlign w:val="center"/>
            <w:hideMark/>
          </w:tcPr>
          <w:p w14:paraId="322534C6"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701" w:type="dxa"/>
            <w:tcBorders>
              <w:top w:val="nil"/>
              <w:left w:val="nil"/>
              <w:bottom w:val="single" w:sz="4" w:space="0" w:color="auto"/>
              <w:right w:val="single" w:sz="4" w:space="0" w:color="auto"/>
            </w:tcBorders>
            <w:shd w:val="clear" w:color="auto" w:fill="auto"/>
            <w:vAlign w:val="center"/>
            <w:hideMark/>
          </w:tcPr>
          <w:p w14:paraId="5866699E"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-0,299</w:t>
            </w:r>
          </w:p>
        </w:tc>
        <w:tc>
          <w:tcPr>
            <w:tcW w:w="1418" w:type="dxa"/>
            <w:tcBorders>
              <w:top w:val="nil"/>
              <w:left w:val="nil"/>
              <w:bottom w:val="single" w:sz="4" w:space="0" w:color="auto"/>
              <w:right w:val="single" w:sz="4" w:space="0" w:color="auto"/>
            </w:tcBorders>
            <w:shd w:val="clear" w:color="000000" w:fill="E9ABAB"/>
            <w:vAlign w:val="center"/>
            <w:hideMark/>
          </w:tcPr>
          <w:p w14:paraId="6BEEBC7F"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0,13</w:t>
            </w:r>
          </w:p>
        </w:tc>
        <w:tc>
          <w:tcPr>
            <w:tcW w:w="1276" w:type="dxa"/>
            <w:tcBorders>
              <w:top w:val="nil"/>
              <w:left w:val="nil"/>
              <w:bottom w:val="single" w:sz="4" w:space="0" w:color="auto"/>
              <w:right w:val="single" w:sz="4" w:space="0" w:color="auto"/>
            </w:tcBorders>
            <w:shd w:val="clear" w:color="000000" w:fill="E9ABAB"/>
            <w:vAlign w:val="center"/>
            <w:hideMark/>
          </w:tcPr>
          <w:p w14:paraId="40C235C5"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0,352</w:t>
            </w:r>
          </w:p>
        </w:tc>
      </w:tr>
      <w:tr w:rsidR="001066DC" w:rsidRPr="005A3C94" w14:paraId="23C2D632" w14:textId="77777777" w:rsidTr="001066DC">
        <w:trPr>
          <w:trHeight w:val="315"/>
          <w:jc w:val="center"/>
        </w:trPr>
        <w:tc>
          <w:tcPr>
            <w:tcW w:w="870" w:type="dxa"/>
            <w:vMerge/>
            <w:tcBorders>
              <w:top w:val="nil"/>
              <w:left w:val="single" w:sz="4" w:space="0" w:color="auto"/>
              <w:bottom w:val="single" w:sz="4" w:space="0" w:color="auto"/>
              <w:right w:val="single" w:sz="4" w:space="0" w:color="auto"/>
            </w:tcBorders>
            <w:vAlign w:val="center"/>
            <w:hideMark/>
          </w:tcPr>
          <w:p w14:paraId="06601CAB" w14:textId="77777777" w:rsidR="001066DC" w:rsidRPr="005A3C94" w:rsidRDefault="001066DC" w:rsidP="001066DC">
            <w:pPr>
              <w:spacing w:after="0" w:line="240" w:lineRule="auto"/>
              <w:rPr>
                <w:rFonts w:ascii="Calibri" w:eastAsia="Times New Roman" w:hAnsi="Calibri" w:cs="Times New Roman"/>
                <w:color w:val="000000"/>
                <w:sz w:val="24"/>
                <w:szCs w:val="24"/>
                <w:lang w:eastAsia="hu-HU"/>
              </w:rPr>
            </w:pPr>
          </w:p>
        </w:tc>
        <w:tc>
          <w:tcPr>
            <w:tcW w:w="1960" w:type="dxa"/>
            <w:tcBorders>
              <w:top w:val="nil"/>
              <w:left w:val="nil"/>
              <w:bottom w:val="single" w:sz="4" w:space="0" w:color="auto"/>
              <w:right w:val="single" w:sz="4" w:space="0" w:color="auto"/>
            </w:tcBorders>
            <w:shd w:val="clear" w:color="auto" w:fill="auto"/>
            <w:vAlign w:val="center"/>
            <w:hideMark/>
          </w:tcPr>
          <w:p w14:paraId="3038709D"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701" w:type="dxa"/>
            <w:tcBorders>
              <w:top w:val="nil"/>
              <w:left w:val="nil"/>
              <w:bottom w:val="single" w:sz="4" w:space="0" w:color="auto"/>
              <w:right w:val="single" w:sz="4" w:space="0" w:color="auto"/>
            </w:tcBorders>
            <w:shd w:val="clear" w:color="auto" w:fill="auto"/>
            <w:vAlign w:val="center"/>
            <w:hideMark/>
          </w:tcPr>
          <w:p w14:paraId="0044FC20"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0,677</w:t>
            </w:r>
          </w:p>
        </w:tc>
        <w:tc>
          <w:tcPr>
            <w:tcW w:w="1418" w:type="dxa"/>
            <w:tcBorders>
              <w:top w:val="nil"/>
              <w:left w:val="nil"/>
              <w:bottom w:val="single" w:sz="4" w:space="0" w:color="auto"/>
              <w:right w:val="single" w:sz="4" w:space="0" w:color="auto"/>
            </w:tcBorders>
            <w:shd w:val="clear" w:color="000000" w:fill="E9ABAB"/>
            <w:vAlign w:val="center"/>
            <w:hideMark/>
          </w:tcPr>
          <w:p w14:paraId="7188F6DE"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-0,125</w:t>
            </w:r>
          </w:p>
        </w:tc>
        <w:tc>
          <w:tcPr>
            <w:tcW w:w="1276" w:type="dxa"/>
            <w:tcBorders>
              <w:top w:val="nil"/>
              <w:left w:val="nil"/>
              <w:bottom w:val="single" w:sz="4" w:space="0" w:color="auto"/>
              <w:right w:val="single" w:sz="4" w:space="0" w:color="auto"/>
            </w:tcBorders>
            <w:shd w:val="clear" w:color="000000" w:fill="C5E0B3"/>
            <w:vAlign w:val="center"/>
            <w:hideMark/>
          </w:tcPr>
          <w:p w14:paraId="2E73990A"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-0,321</w:t>
            </w:r>
          </w:p>
        </w:tc>
      </w:tr>
      <w:tr w:rsidR="001066DC" w:rsidRPr="005A3C94" w14:paraId="16387005" w14:textId="77777777" w:rsidTr="001066DC">
        <w:trPr>
          <w:trHeight w:val="315"/>
          <w:jc w:val="center"/>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04A01389"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5 tárgy</w:t>
            </w:r>
          </w:p>
        </w:tc>
        <w:tc>
          <w:tcPr>
            <w:tcW w:w="1960" w:type="dxa"/>
            <w:tcBorders>
              <w:top w:val="nil"/>
              <w:left w:val="nil"/>
              <w:bottom w:val="single" w:sz="4" w:space="0" w:color="auto"/>
              <w:right w:val="single" w:sz="4" w:space="0" w:color="auto"/>
            </w:tcBorders>
            <w:shd w:val="clear" w:color="auto" w:fill="auto"/>
            <w:vAlign w:val="center"/>
            <w:hideMark/>
          </w:tcPr>
          <w:p w14:paraId="0C1A1A4E"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701" w:type="dxa"/>
            <w:tcBorders>
              <w:top w:val="nil"/>
              <w:left w:val="nil"/>
              <w:bottom w:val="single" w:sz="4" w:space="0" w:color="auto"/>
              <w:right w:val="single" w:sz="4" w:space="0" w:color="auto"/>
            </w:tcBorders>
            <w:shd w:val="clear" w:color="auto" w:fill="auto"/>
            <w:vAlign w:val="center"/>
            <w:hideMark/>
          </w:tcPr>
          <w:p w14:paraId="606FEA44"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-1,108</w:t>
            </w:r>
          </w:p>
        </w:tc>
        <w:tc>
          <w:tcPr>
            <w:tcW w:w="1418" w:type="dxa"/>
            <w:tcBorders>
              <w:top w:val="nil"/>
              <w:left w:val="nil"/>
              <w:bottom w:val="single" w:sz="4" w:space="0" w:color="auto"/>
              <w:right w:val="single" w:sz="4" w:space="0" w:color="auto"/>
            </w:tcBorders>
            <w:shd w:val="clear" w:color="000000" w:fill="E9ABAB"/>
            <w:vAlign w:val="center"/>
            <w:hideMark/>
          </w:tcPr>
          <w:p w14:paraId="407B1AEE"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2,176</w:t>
            </w:r>
          </w:p>
        </w:tc>
        <w:tc>
          <w:tcPr>
            <w:tcW w:w="1276" w:type="dxa"/>
            <w:tcBorders>
              <w:top w:val="nil"/>
              <w:left w:val="nil"/>
              <w:bottom w:val="single" w:sz="4" w:space="0" w:color="auto"/>
              <w:right w:val="single" w:sz="4" w:space="0" w:color="auto"/>
            </w:tcBorders>
            <w:shd w:val="clear" w:color="000000" w:fill="E9ABAB"/>
            <w:vAlign w:val="center"/>
            <w:hideMark/>
          </w:tcPr>
          <w:p w14:paraId="4DC4E956"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-0,779</w:t>
            </w:r>
          </w:p>
        </w:tc>
      </w:tr>
      <w:tr w:rsidR="001066DC" w:rsidRPr="005A3C94" w14:paraId="45024906" w14:textId="77777777" w:rsidTr="001066DC">
        <w:trPr>
          <w:trHeight w:val="315"/>
          <w:jc w:val="center"/>
        </w:trPr>
        <w:tc>
          <w:tcPr>
            <w:tcW w:w="870" w:type="dxa"/>
            <w:vMerge/>
            <w:tcBorders>
              <w:top w:val="nil"/>
              <w:left w:val="single" w:sz="4" w:space="0" w:color="auto"/>
              <w:bottom w:val="single" w:sz="4" w:space="0" w:color="auto"/>
              <w:right w:val="single" w:sz="4" w:space="0" w:color="auto"/>
            </w:tcBorders>
            <w:vAlign w:val="center"/>
            <w:hideMark/>
          </w:tcPr>
          <w:p w14:paraId="0E2E3940" w14:textId="77777777" w:rsidR="001066DC" w:rsidRPr="005A3C94" w:rsidRDefault="001066DC" w:rsidP="001066DC">
            <w:pPr>
              <w:spacing w:after="0" w:line="240" w:lineRule="auto"/>
              <w:rPr>
                <w:rFonts w:ascii="Calibri" w:eastAsia="Times New Roman" w:hAnsi="Calibri" w:cs="Times New Roman"/>
                <w:color w:val="000000"/>
                <w:sz w:val="24"/>
                <w:szCs w:val="24"/>
                <w:lang w:eastAsia="hu-HU"/>
              </w:rPr>
            </w:pPr>
          </w:p>
        </w:tc>
        <w:tc>
          <w:tcPr>
            <w:tcW w:w="1960" w:type="dxa"/>
            <w:tcBorders>
              <w:top w:val="nil"/>
              <w:left w:val="nil"/>
              <w:bottom w:val="single" w:sz="4" w:space="0" w:color="auto"/>
              <w:right w:val="single" w:sz="4" w:space="0" w:color="auto"/>
            </w:tcBorders>
            <w:shd w:val="clear" w:color="auto" w:fill="auto"/>
            <w:vAlign w:val="center"/>
            <w:hideMark/>
          </w:tcPr>
          <w:p w14:paraId="1E570007"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701" w:type="dxa"/>
            <w:tcBorders>
              <w:top w:val="nil"/>
              <w:left w:val="nil"/>
              <w:bottom w:val="single" w:sz="4" w:space="0" w:color="auto"/>
              <w:right w:val="single" w:sz="4" w:space="0" w:color="auto"/>
            </w:tcBorders>
            <w:shd w:val="clear" w:color="000000" w:fill="C5E0B3"/>
            <w:vAlign w:val="center"/>
            <w:hideMark/>
          </w:tcPr>
          <w:p w14:paraId="0AA8D3BA"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0,616</w:t>
            </w:r>
          </w:p>
        </w:tc>
        <w:tc>
          <w:tcPr>
            <w:tcW w:w="1418" w:type="dxa"/>
            <w:tcBorders>
              <w:top w:val="nil"/>
              <w:left w:val="nil"/>
              <w:bottom w:val="single" w:sz="4" w:space="0" w:color="auto"/>
              <w:right w:val="single" w:sz="4" w:space="0" w:color="auto"/>
            </w:tcBorders>
            <w:shd w:val="clear" w:color="000000" w:fill="E9ABAB"/>
            <w:vAlign w:val="center"/>
            <w:hideMark/>
          </w:tcPr>
          <w:p w14:paraId="09CF4F7B"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0,231</w:t>
            </w:r>
          </w:p>
        </w:tc>
        <w:tc>
          <w:tcPr>
            <w:tcW w:w="1276" w:type="dxa"/>
            <w:tcBorders>
              <w:top w:val="nil"/>
              <w:left w:val="nil"/>
              <w:bottom w:val="single" w:sz="4" w:space="0" w:color="auto"/>
              <w:right w:val="single" w:sz="4" w:space="0" w:color="auto"/>
            </w:tcBorders>
            <w:shd w:val="clear" w:color="000000" w:fill="C5E0B3"/>
            <w:vAlign w:val="center"/>
            <w:hideMark/>
          </w:tcPr>
          <w:p w14:paraId="7128CB0B"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-0,593</w:t>
            </w:r>
          </w:p>
        </w:tc>
      </w:tr>
      <w:tr w:rsidR="001066DC" w:rsidRPr="005A3C94" w14:paraId="14B3630F" w14:textId="77777777" w:rsidTr="001066DC">
        <w:trPr>
          <w:trHeight w:val="315"/>
          <w:jc w:val="center"/>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14:paraId="03B857E8"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Total</w:t>
            </w:r>
          </w:p>
        </w:tc>
        <w:tc>
          <w:tcPr>
            <w:tcW w:w="1960" w:type="dxa"/>
            <w:tcBorders>
              <w:top w:val="nil"/>
              <w:left w:val="nil"/>
              <w:bottom w:val="single" w:sz="4" w:space="0" w:color="auto"/>
              <w:right w:val="single" w:sz="4" w:space="0" w:color="auto"/>
            </w:tcBorders>
            <w:shd w:val="clear" w:color="auto" w:fill="auto"/>
            <w:vAlign w:val="center"/>
            <w:hideMark/>
          </w:tcPr>
          <w:p w14:paraId="521101E6"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Kontroll</w:t>
            </w:r>
          </w:p>
        </w:tc>
        <w:tc>
          <w:tcPr>
            <w:tcW w:w="1701" w:type="dxa"/>
            <w:tcBorders>
              <w:top w:val="nil"/>
              <w:left w:val="nil"/>
              <w:bottom w:val="single" w:sz="4" w:space="0" w:color="auto"/>
              <w:right w:val="single" w:sz="4" w:space="0" w:color="auto"/>
            </w:tcBorders>
            <w:shd w:val="clear" w:color="000000" w:fill="E9ABAB"/>
            <w:vAlign w:val="center"/>
            <w:hideMark/>
          </w:tcPr>
          <w:p w14:paraId="7182AB3E"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-0,359</w:t>
            </w:r>
          </w:p>
        </w:tc>
        <w:tc>
          <w:tcPr>
            <w:tcW w:w="1418" w:type="dxa"/>
            <w:tcBorders>
              <w:top w:val="nil"/>
              <w:left w:val="nil"/>
              <w:bottom w:val="single" w:sz="4" w:space="0" w:color="auto"/>
              <w:right w:val="single" w:sz="4" w:space="0" w:color="auto"/>
            </w:tcBorders>
            <w:shd w:val="clear" w:color="auto" w:fill="auto"/>
            <w:vAlign w:val="center"/>
            <w:hideMark/>
          </w:tcPr>
          <w:p w14:paraId="3CF06FCC"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0,085</w:t>
            </w:r>
          </w:p>
        </w:tc>
        <w:tc>
          <w:tcPr>
            <w:tcW w:w="1276" w:type="dxa"/>
            <w:tcBorders>
              <w:top w:val="nil"/>
              <w:left w:val="nil"/>
              <w:bottom w:val="single" w:sz="4" w:space="0" w:color="auto"/>
              <w:right w:val="single" w:sz="4" w:space="0" w:color="auto"/>
            </w:tcBorders>
            <w:shd w:val="clear" w:color="000000" w:fill="E9ABAB"/>
            <w:vAlign w:val="center"/>
            <w:hideMark/>
          </w:tcPr>
          <w:p w14:paraId="6EFDABC4"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0,45</w:t>
            </w:r>
          </w:p>
        </w:tc>
      </w:tr>
      <w:tr w:rsidR="001066DC" w:rsidRPr="005A3C94" w14:paraId="284D6DD7" w14:textId="77777777" w:rsidTr="001066DC">
        <w:trPr>
          <w:trHeight w:val="315"/>
          <w:jc w:val="center"/>
        </w:trPr>
        <w:tc>
          <w:tcPr>
            <w:tcW w:w="870" w:type="dxa"/>
            <w:vMerge/>
            <w:tcBorders>
              <w:top w:val="nil"/>
              <w:left w:val="single" w:sz="4" w:space="0" w:color="auto"/>
              <w:bottom w:val="single" w:sz="4" w:space="0" w:color="auto"/>
              <w:right w:val="single" w:sz="4" w:space="0" w:color="auto"/>
            </w:tcBorders>
            <w:vAlign w:val="center"/>
            <w:hideMark/>
          </w:tcPr>
          <w:p w14:paraId="40EBFCCF" w14:textId="77777777" w:rsidR="001066DC" w:rsidRPr="005A3C94" w:rsidRDefault="001066DC" w:rsidP="001066DC">
            <w:pPr>
              <w:spacing w:after="0" w:line="240" w:lineRule="auto"/>
              <w:rPr>
                <w:rFonts w:ascii="Calibri" w:eastAsia="Times New Roman" w:hAnsi="Calibri" w:cs="Times New Roman"/>
                <w:color w:val="000000"/>
                <w:sz w:val="24"/>
                <w:szCs w:val="24"/>
                <w:lang w:eastAsia="hu-HU"/>
              </w:rPr>
            </w:pPr>
          </w:p>
        </w:tc>
        <w:tc>
          <w:tcPr>
            <w:tcW w:w="1960" w:type="dxa"/>
            <w:tcBorders>
              <w:top w:val="nil"/>
              <w:left w:val="nil"/>
              <w:bottom w:val="single" w:sz="4" w:space="0" w:color="auto"/>
              <w:right w:val="single" w:sz="4" w:space="0" w:color="auto"/>
            </w:tcBorders>
            <w:shd w:val="clear" w:color="auto" w:fill="auto"/>
            <w:vAlign w:val="center"/>
            <w:hideMark/>
          </w:tcPr>
          <w:p w14:paraId="384E5A2E"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Kísérleti</w:t>
            </w:r>
          </w:p>
        </w:tc>
        <w:tc>
          <w:tcPr>
            <w:tcW w:w="1701" w:type="dxa"/>
            <w:tcBorders>
              <w:top w:val="nil"/>
              <w:left w:val="nil"/>
              <w:bottom w:val="single" w:sz="4" w:space="0" w:color="auto"/>
              <w:right w:val="single" w:sz="4" w:space="0" w:color="auto"/>
            </w:tcBorders>
            <w:shd w:val="clear" w:color="000000" w:fill="C5E0B3"/>
            <w:vAlign w:val="center"/>
            <w:hideMark/>
          </w:tcPr>
          <w:p w14:paraId="30E66D67"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0,482</w:t>
            </w:r>
          </w:p>
        </w:tc>
        <w:tc>
          <w:tcPr>
            <w:tcW w:w="1418" w:type="dxa"/>
            <w:tcBorders>
              <w:top w:val="nil"/>
              <w:left w:val="nil"/>
              <w:bottom w:val="single" w:sz="4" w:space="0" w:color="auto"/>
              <w:right w:val="single" w:sz="4" w:space="0" w:color="auto"/>
            </w:tcBorders>
            <w:shd w:val="clear" w:color="000000" w:fill="E9ABAB"/>
            <w:vAlign w:val="center"/>
            <w:hideMark/>
          </w:tcPr>
          <w:p w14:paraId="12FFE854"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0,037</w:t>
            </w:r>
          </w:p>
        </w:tc>
        <w:tc>
          <w:tcPr>
            <w:tcW w:w="1276" w:type="dxa"/>
            <w:tcBorders>
              <w:top w:val="nil"/>
              <w:left w:val="nil"/>
              <w:bottom w:val="single" w:sz="4" w:space="0" w:color="auto"/>
              <w:right w:val="single" w:sz="4" w:space="0" w:color="auto"/>
            </w:tcBorders>
            <w:shd w:val="clear" w:color="000000" w:fill="C5E0B3"/>
            <w:vAlign w:val="center"/>
            <w:hideMark/>
          </w:tcPr>
          <w:p w14:paraId="7E80A52B" w14:textId="77777777" w:rsidR="001066DC" w:rsidRPr="005A3C94" w:rsidRDefault="001066DC" w:rsidP="001066DC">
            <w:pPr>
              <w:spacing w:after="0" w:line="240" w:lineRule="auto"/>
              <w:jc w:val="center"/>
              <w:rPr>
                <w:rFonts w:ascii="Calibri" w:eastAsia="Times New Roman" w:hAnsi="Calibri" w:cs="Times New Roman"/>
                <w:color w:val="000000"/>
                <w:sz w:val="24"/>
                <w:szCs w:val="24"/>
                <w:lang w:eastAsia="hu-HU"/>
              </w:rPr>
            </w:pPr>
            <w:r w:rsidRPr="005A3C94">
              <w:rPr>
                <w:rFonts w:ascii="Calibri" w:eastAsia="Times New Roman" w:hAnsi="Calibri" w:cs="Times New Roman"/>
                <w:color w:val="000000"/>
                <w:sz w:val="24"/>
                <w:szCs w:val="24"/>
                <w:lang w:eastAsia="hu-HU"/>
              </w:rPr>
              <w:t>-0,389</w:t>
            </w:r>
          </w:p>
        </w:tc>
      </w:tr>
    </w:tbl>
    <w:p w14:paraId="1B278A53" w14:textId="77777777" w:rsidR="00EA5221" w:rsidRPr="005A3C94" w:rsidRDefault="00EA5221" w:rsidP="008C67D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ab/>
      </w:r>
      <w:r w:rsidRPr="005A3C94">
        <w:rPr>
          <w:rFonts w:ascii="Times New Roman" w:hAnsi="Times New Roman" w:cs="Times New Roman"/>
          <w:sz w:val="20"/>
          <w:szCs w:val="24"/>
        </w:rPr>
        <w:t>*alacsony esetszám, cellánként 1 eset</w:t>
      </w:r>
    </w:p>
    <w:p w14:paraId="7FF38559" w14:textId="08BAF473" w:rsidR="00F0559D" w:rsidRPr="005A3C94" w:rsidRDefault="00994119" w:rsidP="008C67D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Mivel a kísérleti osztályok közül az egyikbe </w:t>
      </w:r>
      <w:proofErr w:type="spellStart"/>
      <w:r w:rsidRPr="005A3C94">
        <w:rPr>
          <w:rFonts w:ascii="Times New Roman" w:hAnsi="Times New Roman" w:cs="Times New Roman"/>
          <w:sz w:val="24"/>
          <w:szCs w:val="24"/>
        </w:rPr>
        <w:t>SNI-s</w:t>
      </w:r>
      <w:proofErr w:type="spellEnd"/>
      <w:r w:rsidRPr="005A3C94">
        <w:rPr>
          <w:rFonts w:ascii="Times New Roman" w:hAnsi="Times New Roman" w:cs="Times New Roman"/>
          <w:sz w:val="24"/>
          <w:szCs w:val="24"/>
        </w:rPr>
        <w:t xml:space="preserve"> gyerekek járnak, felmerül a lehetőség, hogy az ő teljesítményük érdemben befolyásolja a program hatását. </w:t>
      </w:r>
      <w:r w:rsidR="00AB34AF" w:rsidRPr="005A3C94">
        <w:rPr>
          <w:rFonts w:ascii="Times New Roman" w:hAnsi="Times New Roman" w:cs="Times New Roman"/>
          <w:sz w:val="24"/>
          <w:szCs w:val="24"/>
        </w:rPr>
        <w:t>Azonban a</w:t>
      </w:r>
      <w:r w:rsidR="00AC2D45" w:rsidRPr="005A3C94">
        <w:rPr>
          <w:rFonts w:ascii="Times New Roman" w:hAnsi="Times New Roman" w:cs="Times New Roman"/>
          <w:sz w:val="24"/>
          <w:szCs w:val="24"/>
        </w:rPr>
        <w:t xml:space="preserve">bban az esetben sem változnak érdemben az eredmények, ha nem vesszük figyelembe az </w:t>
      </w:r>
      <w:proofErr w:type="spellStart"/>
      <w:r w:rsidR="00AC2D45" w:rsidRPr="005A3C94">
        <w:rPr>
          <w:rFonts w:ascii="Times New Roman" w:hAnsi="Times New Roman" w:cs="Times New Roman"/>
          <w:sz w:val="24"/>
          <w:szCs w:val="24"/>
        </w:rPr>
        <w:t>SNI-s</w:t>
      </w:r>
      <w:proofErr w:type="spellEnd"/>
      <w:r w:rsidR="00AC2D45" w:rsidRPr="005A3C94">
        <w:rPr>
          <w:rFonts w:ascii="Times New Roman" w:hAnsi="Times New Roman" w:cs="Times New Roman"/>
          <w:sz w:val="24"/>
          <w:szCs w:val="24"/>
        </w:rPr>
        <w:t xml:space="preserve"> gyerekek hatását. Tehát összességében nem lehet azt mondani, hogy lényegesen befolyásolnák az eredményeket. </w:t>
      </w:r>
    </w:p>
    <w:p w14:paraId="0526AC8F" w14:textId="69ADA722" w:rsidR="00034ED0" w:rsidRPr="005A3C94" w:rsidRDefault="00BD21BA" w:rsidP="008C67D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 fentiek mellett </w:t>
      </w:r>
      <w:r w:rsidR="00355FB5" w:rsidRPr="005A3C94">
        <w:rPr>
          <w:rFonts w:ascii="Times New Roman" w:hAnsi="Times New Roman" w:cs="Times New Roman"/>
          <w:sz w:val="24"/>
          <w:szCs w:val="24"/>
        </w:rPr>
        <w:t>területenként is meg</w:t>
      </w:r>
      <w:r w:rsidRPr="005A3C94">
        <w:rPr>
          <w:rFonts w:ascii="Times New Roman" w:hAnsi="Times New Roman" w:cs="Times New Roman"/>
          <w:sz w:val="24"/>
          <w:szCs w:val="24"/>
        </w:rPr>
        <w:t>v</w:t>
      </w:r>
      <w:r w:rsidR="00076687" w:rsidRPr="005A3C94">
        <w:rPr>
          <w:rFonts w:ascii="Times New Roman" w:hAnsi="Times New Roman" w:cs="Times New Roman"/>
          <w:sz w:val="24"/>
          <w:szCs w:val="24"/>
        </w:rPr>
        <w:t>izsgáltuk a</w:t>
      </w:r>
      <w:r w:rsidR="006673A6" w:rsidRPr="005A3C94">
        <w:rPr>
          <w:rFonts w:ascii="Times New Roman" w:hAnsi="Times New Roman" w:cs="Times New Roman"/>
          <w:sz w:val="24"/>
          <w:szCs w:val="24"/>
        </w:rPr>
        <w:t>z egyes</w:t>
      </w:r>
      <w:r w:rsidR="00076687" w:rsidRPr="005A3C94">
        <w:rPr>
          <w:rFonts w:ascii="Times New Roman" w:hAnsi="Times New Roman" w:cs="Times New Roman"/>
          <w:sz w:val="24"/>
          <w:szCs w:val="24"/>
        </w:rPr>
        <w:t xml:space="preserve"> matematikai képességeket</w:t>
      </w:r>
      <w:r w:rsidR="00355FB5" w:rsidRPr="005A3C94">
        <w:rPr>
          <w:rFonts w:ascii="Times New Roman" w:hAnsi="Times New Roman" w:cs="Times New Roman"/>
          <w:sz w:val="24"/>
          <w:szCs w:val="24"/>
        </w:rPr>
        <w:t xml:space="preserve">. </w:t>
      </w:r>
      <w:r w:rsidR="00623D45" w:rsidRPr="005A3C94">
        <w:rPr>
          <w:rFonts w:ascii="Times New Roman" w:hAnsi="Times New Roman" w:cs="Times New Roman"/>
          <w:sz w:val="24"/>
          <w:szCs w:val="24"/>
        </w:rPr>
        <w:t xml:space="preserve">A matematikai feladatok négy nagyobb kérdéskört vizsgáltak: a számelméletet, mérőszámokat, geometriát és szöveges feladatokat. </w:t>
      </w:r>
    </w:p>
    <w:p w14:paraId="45F1A1C3" w14:textId="61D78A95" w:rsidR="00355FB5" w:rsidRPr="005A3C94" w:rsidRDefault="00355FB5" w:rsidP="008C67D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Ebben az esetben nem tudjuk közvetlenül összevetni a bemeneti és kimeneti eredményeket a két táblázatban, mivel más feladatokat tartalmazott a két mérés, és voltak nem átfedő témakörök is.</w:t>
      </w:r>
    </w:p>
    <w:p w14:paraId="2957BC60" w14:textId="131BC56B" w:rsidR="00B87CC7" w:rsidRPr="005A3C94" w:rsidRDefault="00DF1D13" w:rsidP="00B87CC7">
      <w:pPr>
        <w:pStyle w:val="Kpalrs"/>
        <w:keepNext/>
      </w:pPr>
      <w:r>
        <w:fldChar w:fldCharType="begin"/>
      </w:r>
      <w:r>
        <w:instrText xml:space="preserve"> SEQ táblázat \* ARABIC </w:instrText>
      </w:r>
      <w:r>
        <w:fldChar w:fldCharType="separate"/>
      </w:r>
      <w:r w:rsidR="00DC5809">
        <w:rPr>
          <w:noProof/>
        </w:rPr>
        <w:t>16</w:t>
      </w:r>
      <w:r>
        <w:rPr>
          <w:noProof/>
        </w:rPr>
        <w:fldChar w:fldCharType="end"/>
      </w:r>
      <w:r w:rsidR="00B87CC7" w:rsidRPr="005A3C94">
        <w:t xml:space="preserve">. táblázat: Egyes matematikai területek átlagos standardizált értéke a </w:t>
      </w:r>
      <w:r w:rsidR="00B87CC7" w:rsidRPr="005A3C94">
        <w:rPr>
          <w:u w:val="single"/>
        </w:rPr>
        <w:t>bemenetkor</w:t>
      </w:r>
    </w:p>
    <w:tbl>
      <w:tblPr>
        <w:tblW w:w="6280" w:type="dxa"/>
        <w:jc w:val="center"/>
        <w:tblCellMar>
          <w:left w:w="70" w:type="dxa"/>
          <w:right w:w="70" w:type="dxa"/>
        </w:tblCellMar>
        <w:tblLook w:val="04A0" w:firstRow="1" w:lastRow="0" w:firstColumn="1" w:lastColumn="0" w:noHBand="0" w:noVBand="1"/>
      </w:tblPr>
      <w:tblGrid>
        <w:gridCol w:w="960"/>
        <w:gridCol w:w="1180"/>
        <w:gridCol w:w="1580"/>
        <w:gridCol w:w="1300"/>
        <w:gridCol w:w="1260"/>
      </w:tblGrid>
      <w:tr w:rsidR="00B87CC7" w:rsidRPr="005A3C94" w14:paraId="59FF1DE5" w14:textId="77777777" w:rsidTr="00B87CC7">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7DABD660" w14:textId="77777777" w:rsidR="00B87CC7" w:rsidRPr="005A3C94" w:rsidRDefault="00B87CC7" w:rsidP="00B87CC7">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 </w:t>
            </w:r>
          </w:p>
        </w:tc>
        <w:tc>
          <w:tcPr>
            <w:tcW w:w="1180" w:type="dxa"/>
            <w:tcBorders>
              <w:top w:val="single" w:sz="4" w:space="0" w:color="auto"/>
              <w:left w:val="nil"/>
              <w:bottom w:val="single" w:sz="4" w:space="0" w:color="auto"/>
              <w:right w:val="single" w:sz="4" w:space="0" w:color="auto"/>
            </w:tcBorders>
            <w:shd w:val="clear" w:color="000000" w:fill="4F81BD"/>
            <w:vAlign w:val="center"/>
            <w:hideMark/>
          </w:tcPr>
          <w:p w14:paraId="444C1EFB" w14:textId="77777777" w:rsidR="00B87CC7" w:rsidRPr="005A3C94" w:rsidRDefault="00B87CC7" w:rsidP="00B87CC7">
            <w:pPr>
              <w:spacing w:after="0" w:line="240" w:lineRule="auto"/>
              <w:jc w:val="center"/>
              <w:rPr>
                <w:rFonts w:ascii="Times New Roman" w:eastAsia="Times New Roman" w:hAnsi="Times New Roman" w:cs="Times New Roman"/>
                <w:color w:val="FFFFFF"/>
                <w:sz w:val="24"/>
                <w:szCs w:val="24"/>
                <w:lang w:eastAsia="hu-HU"/>
              </w:rPr>
            </w:pPr>
            <w:r w:rsidRPr="005A3C94">
              <w:rPr>
                <w:rFonts w:ascii="Times New Roman" w:eastAsia="Times New Roman" w:hAnsi="Times New Roman" w:cs="Times New Roman"/>
                <w:color w:val="FFFFFF"/>
                <w:sz w:val="24"/>
                <w:szCs w:val="24"/>
                <w:lang w:eastAsia="hu-HU"/>
              </w:rPr>
              <w:t>Számok</w:t>
            </w:r>
          </w:p>
        </w:tc>
        <w:tc>
          <w:tcPr>
            <w:tcW w:w="1580" w:type="dxa"/>
            <w:tcBorders>
              <w:top w:val="single" w:sz="4" w:space="0" w:color="auto"/>
              <w:left w:val="nil"/>
              <w:bottom w:val="single" w:sz="4" w:space="0" w:color="auto"/>
              <w:right w:val="single" w:sz="4" w:space="0" w:color="auto"/>
            </w:tcBorders>
            <w:shd w:val="clear" w:color="000000" w:fill="4F81BD"/>
            <w:vAlign w:val="center"/>
            <w:hideMark/>
          </w:tcPr>
          <w:p w14:paraId="374D51A2" w14:textId="77777777" w:rsidR="00B87CC7" w:rsidRPr="005A3C94" w:rsidRDefault="00B87CC7" w:rsidP="00B87CC7">
            <w:pPr>
              <w:spacing w:after="0" w:line="240" w:lineRule="auto"/>
              <w:jc w:val="center"/>
              <w:rPr>
                <w:rFonts w:ascii="Times New Roman" w:eastAsia="Times New Roman" w:hAnsi="Times New Roman" w:cs="Times New Roman"/>
                <w:color w:val="FFFFFF"/>
                <w:sz w:val="24"/>
                <w:szCs w:val="24"/>
                <w:lang w:eastAsia="hu-HU"/>
              </w:rPr>
            </w:pPr>
            <w:r w:rsidRPr="005A3C94">
              <w:rPr>
                <w:rFonts w:ascii="Times New Roman" w:eastAsia="Times New Roman" w:hAnsi="Times New Roman" w:cs="Times New Roman"/>
                <w:color w:val="FFFFFF"/>
                <w:sz w:val="24"/>
                <w:szCs w:val="24"/>
                <w:lang w:eastAsia="hu-HU"/>
              </w:rPr>
              <w:t>Mérőszámok</w:t>
            </w:r>
          </w:p>
        </w:tc>
        <w:tc>
          <w:tcPr>
            <w:tcW w:w="1300" w:type="dxa"/>
            <w:tcBorders>
              <w:top w:val="single" w:sz="4" w:space="0" w:color="auto"/>
              <w:left w:val="nil"/>
              <w:bottom w:val="single" w:sz="4" w:space="0" w:color="auto"/>
              <w:right w:val="single" w:sz="4" w:space="0" w:color="auto"/>
            </w:tcBorders>
            <w:shd w:val="clear" w:color="000000" w:fill="4F81BD"/>
            <w:vAlign w:val="center"/>
            <w:hideMark/>
          </w:tcPr>
          <w:p w14:paraId="2C419483" w14:textId="77777777" w:rsidR="00B87CC7" w:rsidRPr="005A3C94" w:rsidRDefault="00B87CC7" w:rsidP="00B87CC7">
            <w:pPr>
              <w:spacing w:after="0" w:line="240" w:lineRule="auto"/>
              <w:jc w:val="center"/>
              <w:rPr>
                <w:rFonts w:ascii="Times New Roman" w:eastAsia="Times New Roman" w:hAnsi="Times New Roman" w:cs="Times New Roman"/>
                <w:color w:val="FFFFFF"/>
                <w:sz w:val="24"/>
                <w:szCs w:val="24"/>
                <w:lang w:eastAsia="hu-HU"/>
              </w:rPr>
            </w:pPr>
            <w:r w:rsidRPr="005A3C94">
              <w:rPr>
                <w:rFonts w:ascii="Times New Roman" w:eastAsia="Times New Roman" w:hAnsi="Times New Roman" w:cs="Times New Roman"/>
                <w:color w:val="FFFFFF"/>
                <w:sz w:val="24"/>
                <w:szCs w:val="24"/>
                <w:lang w:eastAsia="hu-HU"/>
              </w:rPr>
              <w:t>Geometria</w:t>
            </w:r>
          </w:p>
        </w:tc>
        <w:tc>
          <w:tcPr>
            <w:tcW w:w="1260" w:type="dxa"/>
            <w:tcBorders>
              <w:top w:val="single" w:sz="4" w:space="0" w:color="auto"/>
              <w:left w:val="nil"/>
              <w:bottom w:val="single" w:sz="4" w:space="0" w:color="auto"/>
              <w:right w:val="single" w:sz="4" w:space="0" w:color="auto"/>
            </w:tcBorders>
            <w:shd w:val="clear" w:color="000000" w:fill="4F81BD"/>
            <w:vAlign w:val="center"/>
            <w:hideMark/>
          </w:tcPr>
          <w:p w14:paraId="6AEB2534" w14:textId="77777777" w:rsidR="00B87CC7" w:rsidRPr="005A3C94" w:rsidRDefault="00B87CC7" w:rsidP="00B87CC7">
            <w:pPr>
              <w:spacing w:after="0" w:line="240" w:lineRule="auto"/>
              <w:jc w:val="center"/>
              <w:rPr>
                <w:rFonts w:ascii="Times New Roman" w:eastAsia="Times New Roman" w:hAnsi="Times New Roman" w:cs="Times New Roman"/>
                <w:color w:val="FFFFFF"/>
                <w:sz w:val="24"/>
                <w:szCs w:val="24"/>
                <w:lang w:eastAsia="hu-HU"/>
              </w:rPr>
            </w:pPr>
            <w:r w:rsidRPr="005A3C94">
              <w:rPr>
                <w:rFonts w:ascii="Times New Roman" w:eastAsia="Times New Roman" w:hAnsi="Times New Roman" w:cs="Times New Roman"/>
                <w:color w:val="FFFFFF"/>
                <w:sz w:val="24"/>
                <w:szCs w:val="24"/>
                <w:lang w:eastAsia="hu-HU"/>
              </w:rPr>
              <w:t>Szöveges feladatok</w:t>
            </w:r>
          </w:p>
        </w:tc>
      </w:tr>
      <w:tr w:rsidR="00B87CC7" w:rsidRPr="005A3C94" w14:paraId="6D60E857" w14:textId="77777777" w:rsidTr="00B87CC7">
        <w:trPr>
          <w:trHeight w:val="330"/>
          <w:jc w:val="center"/>
        </w:trPr>
        <w:tc>
          <w:tcPr>
            <w:tcW w:w="960" w:type="dxa"/>
            <w:tcBorders>
              <w:top w:val="nil"/>
              <w:left w:val="single" w:sz="4" w:space="0" w:color="auto"/>
              <w:bottom w:val="single" w:sz="4" w:space="0" w:color="auto"/>
              <w:right w:val="single" w:sz="4" w:space="0" w:color="auto"/>
            </w:tcBorders>
            <w:shd w:val="clear" w:color="000000" w:fill="4F81BD"/>
            <w:vAlign w:val="center"/>
            <w:hideMark/>
          </w:tcPr>
          <w:p w14:paraId="2B2ACA83" w14:textId="77777777" w:rsidR="00B87CC7" w:rsidRPr="005A3C94" w:rsidRDefault="00B87CC7" w:rsidP="00B87CC7">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Kontroll</w:t>
            </w:r>
          </w:p>
        </w:tc>
        <w:tc>
          <w:tcPr>
            <w:tcW w:w="1180" w:type="dxa"/>
            <w:tcBorders>
              <w:top w:val="nil"/>
              <w:left w:val="nil"/>
              <w:bottom w:val="single" w:sz="4" w:space="0" w:color="auto"/>
              <w:right w:val="single" w:sz="4" w:space="0" w:color="auto"/>
            </w:tcBorders>
            <w:shd w:val="clear" w:color="000000" w:fill="C5D9F1"/>
            <w:vAlign w:val="center"/>
            <w:hideMark/>
          </w:tcPr>
          <w:p w14:paraId="23A7C1C8" w14:textId="77777777" w:rsidR="00B87CC7" w:rsidRPr="005A3C94" w:rsidRDefault="00B87CC7" w:rsidP="00B87CC7">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-0,264</w:t>
            </w:r>
          </w:p>
        </w:tc>
        <w:tc>
          <w:tcPr>
            <w:tcW w:w="1580" w:type="dxa"/>
            <w:tcBorders>
              <w:top w:val="nil"/>
              <w:left w:val="nil"/>
              <w:bottom w:val="single" w:sz="4" w:space="0" w:color="auto"/>
              <w:right w:val="single" w:sz="4" w:space="0" w:color="auto"/>
            </w:tcBorders>
            <w:shd w:val="clear" w:color="000000" w:fill="C5D9F1"/>
            <w:vAlign w:val="center"/>
            <w:hideMark/>
          </w:tcPr>
          <w:p w14:paraId="75C1E65A" w14:textId="77777777" w:rsidR="00B87CC7" w:rsidRPr="005A3C94" w:rsidRDefault="00B87CC7" w:rsidP="00B87CC7">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-0,018</w:t>
            </w:r>
          </w:p>
        </w:tc>
        <w:tc>
          <w:tcPr>
            <w:tcW w:w="1300" w:type="dxa"/>
            <w:tcBorders>
              <w:top w:val="nil"/>
              <w:left w:val="nil"/>
              <w:bottom w:val="single" w:sz="4" w:space="0" w:color="auto"/>
              <w:right w:val="single" w:sz="4" w:space="0" w:color="auto"/>
            </w:tcBorders>
            <w:shd w:val="clear" w:color="000000" w:fill="C5D9F1"/>
            <w:vAlign w:val="center"/>
            <w:hideMark/>
          </w:tcPr>
          <w:p w14:paraId="2AAEFC97" w14:textId="77777777" w:rsidR="00B87CC7" w:rsidRPr="005A3C94" w:rsidRDefault="00B87CC7" w:rsidP="00B87CC7">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-0,321</w:t>
            </w:r>
          </w:p>
        </w:tc>
        <w:tc>
          <w:tcPr>
            <w:tcW w:w="1260" w:type="dxa"/>
            <w:tcBorders>
              <w:top w:val="nil"/>
              <w:left w:val="nil"/>
              <w:bottom w:val="single" w:sz="4" w:space="0" w:color="auto"/>
              <w:right w:val="single" w:sz="4" w:space="0" w:color="auto"/>
            </w:tcBorders>
            <w:shd w:val="clear" w:color="000000" w:fill="C5D9F1"/>
            <w:vAlign w:val="center"/>
            <w:hideMark/>
          </w:tcPr>
          <w:p w14:paraId="161CE3EE" w14:textId="77777777" w:rsidR="00B87CC7" w:rsidRPr="005A3C94" w:rsidRDefault="00B87CC7" w:rsidP="00B87CC7">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0,056</w:t>
            </w:r>
          </w:p>
        </w:tc>
      </w:tr>
      <w:tr w:rsidR="00B87CC7" w:rsidRPr="005A3C94" w14:paraId="749A130E" w14:textId="77777777" w:rsidTr="00CF569F">
        <w:trPr>
          <w:trHeight w:val="330"/>
          <w:jc w:val="center"/>
        </w:trPr>
        <w:tc>
          <w:tcPr>
            <w:tcW w:w="960" w:type="dxa"/>
            <w:tcBorders>
              <w:top w:val="nil"/>
              <w:left w:val="single" w:sz="4" w:space="0" w:color="auto"/>
              <w:bottom w:val="single" w:sz="4" w:space="0" w:color="auto"/>
              <w:right w:val="single" w:sz="4" w:space="0" w:color="auto"/>
            </w:tcBorders>
            <w:shd w:val="clear" w:color="000000" w:fill="4F81BD"/>
            <w:vAlign w:val="center"/>
            <w:hideMark/>
          </w:tcPr>
          <w:p w14:paraId="39BE4B5D" w14:textId="77777777" w:rsidR="00B87CC7" w:rsidRPr="005A3C94" w:rsidRDefault="00B87CC7" w:rsidP="00B87CC7">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Kísérleti</w:t>
            </w:r>
          </w:p>
        </w:tc>
        <w:tc>
          <w:tcPr>
            <w:tcW w:w="1180" w:type="dxa"/>
            <w:tcBorders>
              <w:top w:val="nil"/>
              <w:left w:val="nil"/>
              <w:bottom w:val="single" w:sz="4" w:space="0" w:color="auto"/>
              <w:right w:val="single" w:sz="4" w:space="0" w:color="auto"/>
            </w:tcBorders>
            <w:shd w:val="clear" w:color="auto" w:fill="C5E0B3" w:themeFill="accent6" w:themeFillTint="66"/>
            <w:vAlign w:val="center"/>
            <w:hideMark/>
          </w:tcPr>
          <w:p w14:paraId="545E0F11" w14:textId="77777777" w:rsidR="00B87CC7" w:rsidRPr="005A3C94" w:rsidRDefault="00B87CC7" w:rsidP="00B87CC7">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0,335</w:t>
            </w:r>
          </w:p>
        </w:tc>
        <w:tc>
          <w:tcPr>
            <w:tcW w:w="1580" w:type="dxa"/>
            <w:tcBorders>
              <w:top w:val="nil"/>
              <w:left w:val="nil"/>
              <w:bottom w:val="single" w:sz="4" w:space="0" w:color="auto"/>
              <w:right w:val="single" w:sz="4" w:space="0" w:color="auto"/>
            </w:tcBorders>
            <w:shd w:val="clear" w:color="auto" w:fill="C5E0B3" w:themeFill="accent6" w:themeFillTint="66"/>
            <w:vAlign w:val="center"/>
            <w:hideMark/>
          </w:tcPr>
          <w:p w14:paraId="3774E8AD" w14:textId="77777777" w:rsidR="00B87CC7" w:rsidRPr="005A3C94" w:rsidRDefault="00B87CC7" w:rsidP="00B87CC7">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0,068</w:t>
            </w:r>
          </w:p>
        </w:tc>
        <w:tc>
          <w:tcPr>
            <w:tcW w:w="1300" w:type="dxa"/>
            <w:tcBorders>
              <w:top w:val="nil"/>
              <w:left w:val="nil"/>
              <w:bottom w:val="single" w:sz="4" w:space="0" w:color="auto"/>
              <w:right w:val="single" w:sz="4" w:space="0" w:color="auto"/>
            </w:tcBorders>
            <w:shd w:val="clear" w:color="auto" w:fill="C5E0B3" w:themeFill="accent6" w:themeFillTint="66"/>
            <w:vAlign w:val="center"/>
            <w:hideMark/>
          </w:tcPr>
          <w:p w14:paraId="1B0F0519" w14:textId="77777777" w:rsidR="00B87CC7" w:rsidRPr="005A3C94" w:rsidRDefault="00B87CC7" w:rsidP="00B87CC7">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0,296</w:t>
            </w:r>
          </w:p>
        </w:tc>
        <w:tc>
          <w:tcPr>
            <w:tcW w:w="1260" w:type="dxa"/>
            <w:tcBorders>
              <w:top w:val="nil"/>
              <w:left w:val="nil"/>
              <w:bottom w:val="single" w:sz="4" w:space="0" w:color="auto"/>
              <w:right w:val="single" w:sz="4" w:space="0" w:color="auto"/>
            </w:tcBorders>
            <w:shd w:val="clear" w:color="auto" w:fill="C5E0B3" w:themeFill="accent6" w:themeFillTint="66"/>
            <w:vAlign w:val="center"/>
            <w:hideMark/>
          </w:tcPr>
          <w:p w14:paraId="2A43582A" w14:textId="77777777" w:rsidR="00B87CC7" w:rsidRPr="005A3C94" w:rsidRDefault="00B87CC7" w:rsidP="00B87CC7">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-0,017</w:t>
            </w:r>
          </w:p>
        </w:tc>
      </w:tr>
    </w:tbl>
    <w:p w14:paraId="5E7B8DF2" w14:textId="77777777" w:rsidR="00BD21BA" w:rsidRPr="005A3C94" w:rsidRDefault="00BD21BA" w:rsidP="008C67DC">
      <w:pPr>
        <w:autoSpaceDE w:val="0"/>
        <w:autoSpaceDN w:val="0"/>
        <w:adjustRightInd w:val="0"/>
        <w:spacing w:after="0" w:line="276" w:lineRule="auto"/>
        <w:rPr>
          <w:rFonts w:ascii="Times New Roman" w:hAnsi="Times New Roman" w:cs="Times New Roman"/>
          <w:sz w:val="24"/>
          <w:szCs w:val="24"/>
        </w:rPr>
      </w:pPr>
    </w:p>
    <w:p w14:paraId="3357E83D" w14:textId="345189D6" w:rsidR="00AD6074" w:rsidRPr="005A3C94" w:rsidRDefault="00DF1D13" w:rsidP="00AD6074">
      <w:pPr>
        <w:pStyle w:val="Kpalrs"/>
        <w:keepNext/>
      </w:pPr>
      <w:r>
        <w:fldChar w:fldCharType="begin"/>
      </w:r>
      <w:r>
        <w:instrText xml:space="preserve"> SEQ táblázat \* ARABIC </w:instrText>
      </w:r>
      <w:r>
        <w:fldChar w:fldCharType="separate"/>
      </w:r>
      <w:r w:rsidR="00DC5809">
        <w:rPr>
          <w:noProof/>
        </w:rPr>
        <w:t>17</w:t>
      </w:r>
      <w:r>
        <w:rPr>
          <w:noProof/>
        </w:rPr>
        <w:fldChar w:fldCharType="end"/>
      </w:r>
      <w:r w:rsidR="00AD6074" w:rsidRPr="005A3C94">
        <w:t xml:space="preserve">. táblázat: Egyes matematikai területek átlagos standardizált értéke a </w:t>
      </w:r>
      <w:r w:rsidR="00AD6074" w:rsidRPr="005A3C94">
        <w:rPr>
          <w:u w:val="single"/>
        </w:rPr>
        <w:t>kimenetkor</w:t>
      </w:r>
    </w:p>
    <w:tbl>
      <w:tblPr>
        <w:tblW w:w="6280" w:type="dxa"/>
        <w:jc w:val="center"/>
        <w:tblCellMar>
          <w:left w:w="70" w:type="dxa"/>
          <w:right w:w="70" w:type="dxa"/>
        </w:tblCellMar>
        <w:tblLook w:val="04A0" w:firstRow="1" w:lastRow="0" w:firstColumn="1" w:lastColumn="0" w:noHBand="0" w:noVBand="1"/>
      </w:tblPr>
      <w:tblGrid>
        <w:gridCol w:w="957"/>
        <w:gridCol w:w="1179"/>
        <w:gridCol w:w="1547"/>
        <w:gridCol w:w="1297"/>
        <w:gridCol w:w="1300"/>
      </w:tblGrid>
      <w:tr w:rsidR="00B87CC7" w:rsidRPr="005A3C94" w14:paraId="3F6FE8B1" w14:textId="77777777" w:rsidTr="00AD6074">
        <w:trPr>
          <w:trHeight w:val="630"/>
          <w:jc w:val="center"/>
        </w:trPr>
        <w:tc>
          <w:tcPr>
            <w:tcW w:w="957"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28AC5968" w14:textId="77777777" w:rsidR="00B87CC7" w:rsidRPr="005A3C94" w:rsidRDefault="00B87CC7" w:rsidP="00B87CC7">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 </w:t>
            </w:r>
          </w:p>
        </w:tc>
        <w:tc>
          <w:tcPr>
            <w:tcW w:w="1179" w:type="dxa"/>
            <w:tcBorders>
              <w:top w:val="single" w:sz="4" w:space="0" w:color="auto"/>
              <w:left w:val="nil"/>
              <w:bottom w:val="single" w:sz="4" w:space="0" w:color="auto"/>
              <w:right w:val="single" w:sz="4" w:space="0" w:color="auto"/>
            </w:tcBorders>
            <w:shd w:val="clear" w:color="000000" w:fill="4F81BD"/>
            <w:vAlign w:val="center"/>
            <w:hideMark/>
          </w:tcPr>
          <w:p w14:paraId="76EEAC7E" w14:textId="77777777" w:rsidR="00B87CC7" w:rsidRPr="005A3C94" w:rsidRDefault="00B87CC7" w:rsidP="00B87CC7">
            <w:pPr>
              <w:spacing w:after="0" w:line="240" w:lineRule="auto"/>
              <w:jc w:val="center"/>
              <w:rPr>
                <w:rFonts w:ascii="Times New Roman" w:eastAsia="Times New Roman" w:hAnsi="Times New Roman" w:cs="Times New Roman"/>
                <w:color w:val="FFFFFF"/>
                <w:sz w:val="24"/>
                <w:szCs w:val="24"/>
                <w:lang w:eastAsia="hu-HU"/>
              </w:rPr>
            </w:pPr>
            <w:r w:rsidRPr="005A3C94">
              <w:rPr>
                <w:rFonts w:ascii="Times New Roman" w:eastAsia="Times New Roman" w:hAnsi="Times New Roman" w:cs="Times New Roman"/>
                <w:color w:val="FFFFFF"/>
                <w:sz w:val="24"/>
                <w:szCs w:val="24"/>
                <w:lang w:eastAsia="hu-HU"/>
              </w:rPr>
              <w:t>Geometria</w:t>
            </w:r>
          </w:p>
        </w:tc>
        <w:tc>
          <w:tcPr>
            <w:tcW w:w="1547" w:type="dxa"/>
            <w:tcBorders>
              <w:top w:val="single" w:sz="4" w:space="0" w:color="auto"/>
              <w:left w:val="nil"/>
              <w:bottom w:val="single" w:sz="4" w:space="0" w:color="auto"/>
              <w:right w:val="single" w:sz="4" w:space="0" w:color="auto"/>
            </w:tcBorders>
            <w:shd w:val="clear" w:color="000000" w:fill="4F81BD"/>
            <w:vAlign w:val="center"/>
            <w:hideMark/>
          </w:tcPr>
          <w:p w14:paraId="3D5C4314" w14:textId="77777777" w:rsidR="00B87CC7" w:rsidRPr="005A3C94" w:rsidRDefault="00B87CC7" w:rsidP="00B87CC7">
            <w:pPr>
              <w:spacing w:after="0" w:line="240" w:lineRule="auto"/>
              <w:jc w:val="center"/>
              <w:rPr>
                <w:rFonts w:ascii="Times New Roman" w:eastAsia="Times New Roman" w:hAnsi="Times New Roman" w:cs="Times New Roman"/>
                <w:color w:val="FFFFFF"/>
                <w:sz w:val="24"/>
                <w:szCs w:val="24"/>
                <w:lang w:eastAsia="hu-HU"/>
              </w:rPr>
            </w:pPr>
            <w:r w:rsidRPr="005A3C94">
              <w:rPr>
                <w:rFonts w:ascii="Times New Roman" w:eastAsia="Times New Roman" w:hAnsi="Times New Roman" w:cs="Times New Roman"/>
                <w:color w:val="FFFFFF"/>
                <w:sz w:val="24"/>
                <w:szCs w:val="24"/>
                <w:lang w:eastAsia="hu-HU"/>
              </w:rPr>
              <w:t>Számok</w:t>
            </w:r>
          </w:p>
        </w:tc>
        <w:tc>
          <w:tcPr>
            <w:tcW w:w="1297" w:type="dxa"/>
            <w:tcBorders>
              <w:top w:val="single" w:sz="4" w:space="0" w:color="auto"/>
              <w:left w:val="nil"/>
              <w:bottom w:val="single" w:sz="4" w:space="0" w:color="auto"/>
              <w:right w:val="single" w:sz="4" w:space="0" w:color="auto"/>
            </w:tcBorders>
            <w:shd w:val="clear" w:color="000000" w:fill="4F81BD"/>
            <w:vAlign w:val="center"/>
            <w:hideMark/>
          </w:tcPr>
          <w:p w14:paraId="17861FEC" w14:textId="77777777" w:rsidR="00B87CC7" w:rsidRPr="005A3C94" w:rsidRDefault="00B87CC7" w:rsidP="00B87CC7">
            <w:pPr>
              <w:spacing w:after="0" w:line="240" w:lineRule="auto"/>
              <w:jc w:val="center"/>
              <w:rPr>
                <w:rFonts w:ascii="Times New Roman" w:eastAsia="Times New Roman" w:hAnsi="Times New Roman" w:cs="Times New Roman"/>
                <w:color w:val="FFFFFF"/>
                <w:sz w:val="24"/>
                <w:szCs w:val="24"/>
                <w:lang w:eastAsia="hu-HU"/>
              </w:rPr>
            </w:pPr>
            <w:r w:rsidRPr="005A3C94">
              <w:rPr>
                <w:rFonts w:ascii="Times New Roman" w:eastAsia="Times New Roman" w:hAnsi="Times New Roman" w:cs="Times New Roman"/>
                <w:color w:val="FFFFFF"/>
                <w:sz w:val="24"/>
                <w:szCs w:val="24"/>
                <w:lang w:eastAsia="hu-HU"/>
              </w:rPr>
              <w:t>Grafikonok</w:t>
            </w:r>
          </w:p>
        </w:tc>
        <w:tc>
          <w:tcPr>
            <w:tcW w:w="1300" w:type="dxa"/>
            <w:tcBorders>
              <w:top w:val="single" w:sz="4" w:space="0" w:color="auto"/>
              <w:left w:val="nil"/>
              <w:bottom w:val="single" w:sz="4" w:space="0" w:color="auto"/>
              <w:right w:val="single" w:sz="4" w:space="0" w:color="auto"/>
            </w:tcBorders>
            <w:shd w:val="clear" w:color="000000" w:fill="4F81BD"/>
            <w:vAlign w:val="center"/>
            <w:hideMark/>
          </w:tcPr>
          <w:p w14:paraId="0F83696B" w14:textId="77777777" w:rsidR="00B87CC7" w:rsidRPr="005A3C94" w:rsidRDefault="00B87CC7" w:rsidP="00B87CC7">
            <w:pPr>
              <w:spacing w:after="0" w:line="240" w:lineRule="auto"/>
              <w:jc w:val="center"/>
              <w:rPr>
                <w:rFonts w:ascii="Times New Roman" w:eastAsia="Times New Roman" w:hAnsi="Times New Roman" w:cs="Times New Roman"/>
                <w:color w:val="FFFFFF"/>
                <w:sz w:val="24"/>
                <w:szCs w:val="24"/>
                <w:lang w:eastAsia="hu-HU"/>
              </w:rPr>
            </w:pPr>
            <w:r w:rsidRPr="005A3C94">
              <w:rPr>
                <w:rFonts w:ascii="Times New Roman" w:eastAsia="Times New Roman" w:hAnsi="Times New Roman" w:cs="Times New Roman"/>
                <w:color w:val="FFFFFF"/>
                <w:sz w:val="24"/>
                <w:szCs w:val="24"/>
                <w:lang w:eastAsia="hu-HU"/>
              </w:rPr>
              <w:t>Koordináta-rendszer</w:t>
            </w:r>
          </w:p>
        </w:tc>
      </w:tr>
      <w:tr w:rsidR="00B87CC7" w:rsidRPr="005A3C94" w14:paraId="6206E912" w14:textId="77777777" w:rsidTr="00AD6074">
        <w:trPr>
          <w:trHeight w:val="315"/>
          <w:jc w:val="center"/>
        </w:trPr>
        <w:tc>
          <w:tcPr>
            <w:tcW w:w="957" w:type="dxa"/>
            <w:tcBorders>
              <w:top w:val="nil"/>
              <w:left w:val="single" w:sz="4" w:space="0" w:color="auto"/>
              <w:bottom w:val="single" w:sz="4" w:space="0" w:color="auto"/>
              <w:right w:val="single" w:sz="4" w:space="0" w:color="auto"/>
            </w:tcBorders>
            <w:shd w:val="clear" w:color="000000" w:fill="4F81BD"/>
            <w:vAlign w:val="center"/>
            <w:hideMark/>
          </w:tcPr>
          <w:p w14:paraId="433E9854" w14:textId="77777777" w:rsidR="00B87CC7" w:rsidRPr="005A3C94" w:rsidRDefault="00B87CC7" w:rsidP="00B87CC7">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Kontroll</w:t>
            </w:r>
          </w:p>
        </w:tc>
        <w:tc>
          <w:tcPr>
            <w:tcW w:w="1179" w:type="dxa"/>
            <w:tcBorders>
              <w:top w:val="nil"/>
              <w:left w:val="nil"/>
              <w:bottom w:val="single" w:sz="4" w:space="0" w:color="auto"/>
              <w:right w:val="single" w:sz="4" w:space="0" w:color="auto"/>
            </w:tcBorders>
            <w:shd w:val="clear" w:color="000000" w:fill="C5D9F1"/>
            <w:vAlign w:val="center"/>
            <w:hideMark/>
          </w:tcPr>
          <w:p w14:paraId="5366BA09" w14:textId="77777777" w:rsidR="00B87CC7" w:rsidRPr="005A3C94" w:rsidRDefault="00B87CC7" w:rsidP="00B87CC7">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-0,071</w:t>
            </w:r>
          </w:p>
        </w:tc>
        <w:tc>
          <w:tcPr>
            <w:tcW w:w="1547" w:type="dxa"/>
            <w:tcBorders>
              <w:top w:val="nil"/>
              <w:left w:val="nil"/>
              <w:bottom w:val="single" w:sz="4" w:space="0" w:color="auto"/>
              <w:right w:val="single" w:sz="4" w:space="0" w:color="auto"/>
            </w:tcBorders>
            <w:shd w:val="clear" w:color="000000" w:fill="C5D9F1"/>
            <w:vAlign w:val="center"/>
            <w:hideMark/>
          </w:tcPr>
          <w:p w14:paraId="26FBDE36" w14:textId="77777777" w:rsidR="00B87CC7" w:rsidRPr="005A3C94" w:rsidRDefault="00B87CC7" w:rsidP="00B87CC7">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-0,203</w:t>
            </w:r>
          </w:p>
        </w:tc>
        <w:tc>
          <w:tcPr>
            <w:tcW w:w="1297" w:type="dxa"/>
            <w:tcBorders>
              <w:top w:val="nil"/>
              <w:left w:val="nil"/>
              <w:bottom w:val="single" w:sz="4" w:space="0" w:color="auto"/>
              <w:right w:val="single" w:sz="4" w:space="0" w:color="auto"/>
            </w:tcBorders>
            <w:shd w:val="clear" w:color="000000" w:fill="C5D9F1"/>
            <w:vAlign w:val="center"/>
            <w:hideMark/>
          </w:tcPr>
          <w:p w14:paraId="27888985" w14:textId="77777777" w:rsidR="00B87CC7" w:rsidRPr="005A3C94" w:rsidRDefault="00B87CC7" w:rsidP="00B87CC7">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0,194</w:t>
            </w:r>
          </w:p>
        </w:tc>
        <w:tc>
          <w:tcPr>
            <w:tcW w:w="1300" w:type="dxa"/>
            <w:tcBorders>
              <w:top w:val="nil"/>
              <w:left w:val="nil"/>
              <w:bottom w:val="single" w:sz="4" w:space="0" w:color="auto"/>
              <w:right w:val="single" w:sz="4" w:space="0" w:color="auto"/>
            </w:tcBorders>
            <w:shd w:val="clear" w:color="000000" w:fill="C5D9F1"/>
            <w:vAlign w:val="center"/>
            <w:hideMark/>
          </w:tcPr>
          <w:p w14:paraId="3C108D3B" w14:textId="77777777" w:rsidR="00B87CC7" w:rsidRPr="005A3C94" w:rsidRDefault="00B87CC7" w:rsidP="00B87CC7">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-0,582</w:t>
            </w:r>
          </w:p>
        </w:tc>
      </w:tr>
      <w:tr w:rsidR="00B87CC7" w:rsidRPr="005A3C94" w14:paraId="29EAC69D" w14:textId="77777777" w:rsidTr="00CF569F">
        <w:trPr>
          <w:trHeight w:val="315"/>
          <w:jc w:val="center"/>
        </w:trPr>
        <w:tc>
          <w:tcPr>
            <w:tcW w:w="957" w:type="dxa"/>
            <w:tcBorders>
              <w:top w:val="nil"/>
              <w:left w:val="single" w:sz="4" w:space="0" w:color="auto"/>
              <w:bottom w:val="single" w:sz="4" w:space="0" w:color="auto"/>
              <w:right w:val="single" w:sz="4" w:space="0" w:color="auto"/>
            </w:tcBorders>
            <w:shd w:val="clear" w:color="000000" w:fill="4F81BD"/>
            <w:vAlign w:val="center"/>
            <w:hideMark/>
          </w:tcPr>
          <w:p w14:paraId="3E28532C" w14:textId="77777777" w:rsidR="00B87CC7" w:rsidRPr="005A3C94" w:rsidRDefault="00B87CC7" w:rsidP="00B87CC7">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Kísérleti</w:t>
            </w:r>
          </w:p>
        </w:tc>
        <w:tc>
          <w:tcPr>
            <w:tcW w:w="1179" w:type="dxa"/>
            <w:tcBorders>
              <w:top w:val="nil"/>
              <w:left w:val="nil"/>
              <w:bottom w:val="single" w:sz="4" w:space="0" w:color="auto"/>
              <w:right w:val="single" w:sz="4" w:space="0" w:color="auto"/>
            </w:tcBorders>
            <w:shd w:val="clear" w:color="auto" w:fill="C5E0B3" w:themeFill="accent6" w:themeFillTint="66"/>
            <w:vAlign w:val="center"/>
            <w:hideMark/>
          </w:tcPr>
          <w:p w14:paraId="2C0B8D96" w14:textId="77777777" w:rsidR="00B87CC7" w:rsidRPr="005A3C94" w:rsidRDefault="00B87CC7" w:rsidP="00B87CC7">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0,159</w:t>
            </w:r>
          </w:p>
        </w:tc>
        <w:tc>
          <w:tcPr>
            <w:tcW w:w="1547" w:type="dxa"/>
            <w:tcBorders>
              <w:top w:val="nil"/>
              <w:left w:val="nil"/>
              <w:bottom w:val="single" w:sz="4" w:space="0" w:color="auto"/>
              <w:right w:val="single" w:sz="4" w:space="0" w:color="auto"/>
            </w:tcBorders>
            <w:shd w:val="clear" w:color="auto" w:fill="C5E0B3" w:themeFill="accent6" w:themeFillTint="66"/>
            <w:vAlign w:val="center"/>
            <w:hideMark/>
          </w:tcPr>
          <w:p w14:paraId="52437BB9" w14:textId="77777777" w:rsidR="00B87CC7" w:rsidRPr="005A3C94" w:rsidRDefault="00B87CC7" w:rsidP="00B87CC7">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0,356</w:t>
            </w:r>
          </w:p>
        </w:tc>
        <w:tc>
          <w:tcPr>
            <w:tcW w:w="1297" w:type="dxa"/>
            <w:tcBorders>
              <w:top w:val="nil"/>
              <w:left w:val="nil"/>
              <w:bottom w:val="single" w:sz="4" w:space="0" w:color="auto"/>
              <w:right w:val="single" w:sz="4" w:space="0" w:color="auto"/>
            </w:tcBorders>
            <w:shd w:val="clear" w:color="auto" w:fill="C5E0B3" w:themeFill="accent6" w:themeFillTint="66"/>
            <w:vAlign w:val="center"/>
            <w:hideMark/>
          </w:tcPr>
          <w:p w14:paraId="01EE45F2" w14:textId="77777777" w:rsidR="00B87CC7" w:rsidRPr="005A3C94" w:rsidRDefault="00B87CC7" w:rsidP="00B87CC7">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-0,042</w:t>
            </w:r>
          </w:p>
        </w:tc>
        <w:tc>
          <w:tcPr>
            <w:tcW w:w="1300" w:type="dxa"/>
            <w:tcBorders>
              <w:top w:val="nil"/>
              <w:left w:val="nil"/>
              <w:bottom w:val="single" w:sz="4" w:space="0" w:color="auto"/>
              <w:right w:val="single" w:sz="4" w:space="0" w:color="auto"/>
            </w:tcBorders>
            <w:shd w:val="clear" w:color="auto" w:fill="C5E0B3" w:themeFill="accent6" w:themeFillTint="66"/>
            <w:vAlign w:val="center"/>
            <w:hideMark/>
          </w:tcPr>
          <w:p w14:paraId="2CFE114F" w14:textId="77777777" w:rsidR="00B87CC7" w:rsidRPr="005A3C94" w:rsidRDefault="00B87CC7" w:rsidP="00B87CC7">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0,631</w:t>
            </w:r>
          </w:p>
        </w:tc>
      </w:tr>
    </w:tbl>
    <w:p w14:paraId="3721A9C3" w14:textId="77777777" w:rsidR="00AD6074" w:rsidRPr="005A3C94" w:rsidRDefault="00AD6074" w:rsidP="008C67DC">
      <w:pPr>
        <w:spacing w:line="276" w:lineRule="auto"/>
        <w:jc w:val="both"/>
        <w:rPr>
          <w:rFonts w:ascii="Times New Roman" w:hAnsi="Times New Roman" w:cs="Times New Roman"/>
          <w:sz w:val="24"/>
          <w:szCs w:val="24"/>
        </w:rPr>
      </w:pPr>
    </w:p>
    <w:p w14:paraId="159DAA8F" w14:textId="7B64AC36" w:rsidR="00931708" w:rsidRPr="005A3C94" w:rsidRDefault="00931708" w:rsidP="008C67D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Mind a bemeneti, mind a kimeneti mérés eredményei alapján a kísérleti diákok 3-3 területen teljesítenek jobban, mint a kontroll csoport, az első méréskor a szöveges feladatok, a második méréskor a grafikonok területén szerepelnek gyengébben.</w:t>
      </w:r>
    </w:p>
    <w:p w14:paraId="709AA4E5" w14:textId="1F6DB601" w:rsidR="001F6E7C" w:rsidRPr="005A3C94" w:rsidRDefault="00931708" w:rsidP="008C67D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 feladatok megoldásait </w:t>
      </w:r>
      <w:r w:rsidR="001F6E7C" w:rsidRPr="005A3C94">
        <w:rPr>
          <w:rFonts w:ascii="Times New Roman" w:hAnsi="Times New Roman" w:cs="Times New Roman"/>
          <w:sz w:val="24"/>
          <w:szCs w:val="24"/>
        </w:rPr>
        <w:t>egy matematikatanár értékelte</w:t>
      </w:r>
      <w:r w:rsidRPr="005A3C94">
        <w:rPr>
          <w:rFonts w:ascii="Times New Roman" w:hAnsi="Times New Roman" w:cs="Times New Roman"/>
          <w:sz w:val="24"/>
          <w:szCs w:val="24"/>
        </w:rPr>
        <w:t>,</w:t>
      </w:r>
      <w:r w:rsidR="001F6E7C" w:rsidRPr="005A3C94">
        <w:rPr>
          <w:rFonts w:ascii="Times New Roman" w:hAnsi="Times New Roman" w:cs="Times New Roman"/>
          <w:sz w:val="24"/>
          <w:szCs w:val="24"/>
        </w:rPr>
        <w:t xml:space="preserve"> és minden egyes diák eredményét százalékos formában megadta, valamint feladattípusonként is kiszámoltuk, hogy hány százalékot ért el egy-egy diák. </w:t>
      </w:r>
      <w:r w:rsidR="00A34917" w:rsidRPr="005A3C94">
        <w:rPr>
          <w:rFonts w:ascii="Times New Roman" w:hAnsi="Times New Roman" w:cs="Times New Roman"/>
          <w:sz w:val="24"/>
          <w:szCs w:val="24"/>
        </w:rPr>
        <w:t xml:space="preserve">Ezek az eredmények tehát tartalmaznak szubjektív elemet, hiszen egy olyan tanár értékelte a teszteket, aki a résztvevő osztályok közül csak egyet ismert. </w:t>
      </w:r>
      <w:r w:rsidR="00AA3148" w:rsidRPr="005A3C94">
        <w:rPr>
          <w:rFonts w:ascii="Times New Roman" w:hAnsi="Times New Roman" w:cs="Times New Roman"/>
          <w:sz w:val="24"/>
          <w:szCs w:val="24"/>
        </w:rPr>
        <w:t xml:space="preserve">Az alábbi táblák a </w:t>
      </w:r>
      <w:r w:rsidR="00AE4601" w:rsidRPr="005A3C94">
        <w:rPr>
          <w:rFonts w:ascii="Times New Roman" w:hAnsi="Times New Roman" w:cs="Times New Roman"/>
          <w:sz w:val="24"/>
          <w:szCs w:val="24"/>
        </w:rPr>
        <w:t>négy-négy feladattípus százalékos értékelését és az összteljesítményt szemléltetni.</w:t>
      </w:r>
    </w:p>
    <w:p w14:paraId="10AD4529" w14:textId="13E8D255" w:rsidR="00A13B35" w:rsidRPr="005A3C94" w:rsidRDefault="00DF1D13" w:rsidP="00A13B35">
      <w:pPr>
        <w:pStyle w:val="Kpalrs"/>
        <w:keepNext/>
        <w:rPr>
          <w:u w:val="single"/>
        </w:rPr>
      </w:pPr>
      <w:r>
        <w:fldChar w:fldCharType="begin"/>
      </w:r>
      <w:r>
        <w:instrText xml:space="preserve"> SEQ táblázat \* ARABIC </w:instrText>
      </w:r>
      <w:r>
        <w:fldChar w:fldCharType="separate"/>
      </w:r>
      <w:r w:rsidR="00DC5809">
        <w:rPr>
          <w:noProof/>
        </w:rPr>
        <w:t>18</w:t>
      </w:r>
      <w:r>
        <w:rPr>
          <w:noProof/>
        </w:rPr>
        <w:fldChar w:fldCharType="end"/>
      </w:r>
      <w:r w:rsidR="00A13B35" w:rsidRPr="005A3C94">
        <w:t xml:space="preserve">. táblázat: A matematika tesztek tanári értékelése </w:t>
      </w:r>
      <w:r w:rsidR="00A13B35" w:rsidRPr="005A3C94">
        <w:rPr>
          <w:u w:val="single"/>
        </w:rPr>
        <w:t>bemenetkor</w:t>
      </w:r>
    </w:p>
    <w:tbl>
      <w:tblPr>
        <w:tblW w:w="7680" w:type="dxa"/>
        <w:jc w:val="center"/>
        <w:tblCellMar>
          <w:left w:w="70" w:type="dxa"/>
          <w:right w:w="70" w:type="dxa"/>
        </w:tblCellMar>
        <w:tblLook w:val="04A0" w:firstRow="1" w:lastRow="0" w:firstColumn="1" w:lastColumn="0" w:noHBand="0" w:noVBand="1"/>
      </w:tblPr>
      <w:tblGrid>
        <w:gridCol w:w="960"/>
        <w:gridCol w:w="1460"/>
        <w:gridCol w:w="1580"/>
        <w:gridCol w:w="1300"/>
        <w:gridCol w:w="1260"/>
        <w:gridCol w:w="1120"/>
      </w:tblGrid>
      <w:tr w:rsidR="00A13B35" w:rsidRPr="005A3C94" w14:paraId="1F0288C2" w14:textId="77777777" w:rsidTr="00A13B35">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3829F9E0" w14:textId="77777777" w:rsidR="00A13B35" w:rsidRPr="005A3C94" w:rsidRDefault="00A13B35" w:rsidP="00A13B35">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 </w:t>
            </w:r>
          </w:p>
        </w:tc>
        <w:tc>
          <w:tcPr>
            <w:tcW w:w="1460" w:type="dxa"/>
            <w:tcBorders>
              <w:top w:val="single" w:sz="4" w:space="0" w:color="auto"/>
              <w:left w:val="nil"/>
              <w:bottom w:val="single" w:sz="4" w:space="0" w:color="auto"/>
              <w:right w:val="single" w:sz="4" w:space="0" w:color="auto"/>
            </w:tcBorders>
            <w:shd w:val="clear" w:color="000000" w:fill="4F81BD"/>
            <w:vAlign w:val="center"/>
            <w:hideMark/>
          </w:tcPr>
          <w:p w14:paraId="3D63E78F" w14:textId="77777777" w:rsidR="00A13B35" w:rsidRPr="005A3C94" w:rsidRDefault="00A13B35" w:rsidP="00A13B35">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Összeredmény (%)</w:t>
            </w:r>
          </w:p>
        </w:tc>
        <w:tc>
          <w:tcPr>
            <w:tcW w:w="1580" w:type="dxa"/>
            <w:tcBorders>
              <w:top w:val="single" w:sz="4" w:space="0" w:color="auto"/>
              <w:left w:val="nil"/>
              <w:bottom w:val="single" w:sz="4" w:space="0" w:color="auto"/>
              <w:right w:val="single" w:sz="4" w:space="0" w:color="auto"/>
            </w:tcBorders>
            <w:shd w:val="clear" w:color="000000" w:fill="4F81BD"/>
            <w:vAlign w:val="center"/>
            <w:hideMark/>
          </w:tcPr>
          <w:p w14:paraId="3CB722FB" w14:textId="77777777" w:rsidR="00A13B35" w:rsidRPr="005A3C94" w:rsidRDefault="00A13B35" w:rsidP="00A13B35">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Számok (%)</w:t>
            </w:r>
          </w:p>
        </w:tc>
        <w:tc>
          <w:tcPr>
            <w:tcW w:w="1300" w:type="dxa"/>
            <w:tcBorders>
              <w:top w:val="single" w:sz="4" w:space="0" w:color="auto"/>
              <w:left w:val="nil"/>
              <w:bottom w:val="single" w:sz="4" w:space="0" w:color="auto"/>
              <w:right w:val="single" w:sz="4" w:space="0" w:color="auto"/>
            </w:tcBorders>
            <w:shd w:val="clear" w:color="000000" w:fill="4F81BD"/>
            <w:vAlign w:val="center"/>
            <w:hideMark/>
          </w:tcPr>
          <w:p w14:paraId="58C5BC57" w14:textId="77777777" w:rsidR="00A13B35" w:rsidRPr="005A3C94" w:rsidRDefault="00A13B35" w:rsidP="00A13B35">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Mérőszámok (%)</w:t>
            </w:r>
          </w:p>
        </w:tc>
        <w:tc>
          <w:tcPr>
            <w:tcW w:w="1260" w:type="dxa"/>
            <w:tcBorders>
              <w:top w:val="single" w:sz="4" w:space="0" w:color="auto"/>
              <w:left w:val="nil"/>
              <w:bottom w:val="single" w:sz="4" w:space="0" w:color="auto"/>
              <w:right w:val="single" w:sz="4" w:space="0" w:color="auto"/>
            </w:tcBorders>
            <w:shd w:val="clear" w:color="000000" w:fill="4F81BD"/>
            <w:vAlign w:val="center"/>
            <w:hideMark/>
          </w:tcPr>
          <w:p w14:paraId="34D7488C" w14:textId="77777777" w:rsidR="00A13B35" w:rsidRPr="005A3C94" w:rsidRDefault="00A13B35" w:rsidP="00A13B35">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Geometria (%)</w:t>
            </w:r>
          </w:p>
        </w:tc>
        <w:tc>
          <w:tcPr>
            <w:tcW w:w="1120" w:type="dxa"/>
            <w:tcBorders>
              <w:top w:val="single" w:sz="4" w:space="0" w:color="auto"/>
              <w:left w:val="nil"/>
              <w:bottom w:val="single" w:sz="4" w:space="0" w:color="auto"/>
              <w:right w:val="single" w:sz="4" w:space="0" w:color="auto"/>
            </w:tcBorders>
            <w:shd w:val="clear" w:color="000000" w:fill="4F81BD"/>
            <w:vAlign w:val="center"/>
            <w:hideMark/>
          </w:tcPr>
          <w:p w14:paraId="4206EEC3" w14:textId="77777777" w:rsidR="00A13B35" w:rsidRPr="005A3C94" w:rsidRDefault="00A13B35" w:rsidP="00A13B35">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Szöveges feladatok (%)</w:t>
            </w:r>
          </w:p>
        </w:tc>
      </w:tr>
      <w:tr w:rsidR="00A13B35" w:rsidRPr="005A3C94" w14:paraId="2D62C29B" w14:textId="77777777" w:rsidTr="00A13B35">
        <w:trPr>
          <w:trHeight w:val="315"/>
          <w:jc w:val="center"/>
        </w:trPr>
        <w:tc>
          <w:tcPr>
            <w:tcW w:w="960" w:type="dxa"/>
            <w:tcBorders>
              <w:top w:val="nil"/>
              <w:left w:val="single" w:sz="4" w:space="0" w:color="auto"/>
              <w:bottom w:val="single" w:sz="4" w:space="0" w:color="auto"/>
              <w:right w:val="single" w:sz="4" w:space="0" w:color="auto"/>
            </w:tcBorders>
            <w:shd w:val="clear" w:color="000000" w:fill="4F81BD"/>
            <w:vAlign w:val="center"/>
            <w:hideMark/>
          </w:tcPr>
          <w:p w14:paraId="3F452CC1" w14:textId="77777777" w:rsidR="00A13B35" w:rsidRPr="005A3C94" w:rsidRDefault="00A13B35" w:rsidP="00A13B35">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Kontroll</w:t>
            </w:r>
          </w:p>
        </w:tc>
        <w:tc>
          <w:tcPr>
            <w:tcW w:w="1460" w:type="dxa"/>
            <w:tcBorders>
              <w:top w:val="nil"/>
              <w:left w:val="nil"/>
              <w:bottom w:val="single" w:sz="4" w:space="0" w:color="auto"/>
              <w:right w:val="single" w:sz="4" w:space="0" w:color="auto"/>
            </w:tcBorders>
            <w:shd w:val="clear" w:color="000000" w:fill="C5D9F1"/>
            <w:vAlign w:val="center"/>
            <w:hideMark/>
          </w:tcPr>
          <w:p w14:paraId="5BD2BD61"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31,7</w:t>
            </w:r>
          </w:p>
        </w:tc>
        <w:tc>
          <w:tcPr>
            <w:tcW w:w="1580" w:type="dxa"/>
            <w:tcBorders>
              <w:top w:val="nil"/>
              <w:left w:val="nil"/>
              <w:bottom w:val="single" w:sz="4" w:space="0" w:color="auto"/>
              <w:right w:val="single" w:sz="4" w:space="0" w:color="auto"/>
            </w:tcBorders>
            <w:shd w:val="clear" w:color="000000" w:fill="C5D9F1"/>
            <w:vAlign w:val="center"/>
            <w:hideMark/>
          </w:tcPr>
          <w:p w14:paraId="3EB82734"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26,4</w:t>
            </w:r>
          </w:p>
        </w:tc>
        <w:tc>
          <w:tcPr>
            <w:tcW w:w="1300" w:type="dxa"/>
            <w:tcBorders>
              <w:top w:val="nil"/>
              <w:left w:val="nil"/>
              <w:bottom w:val="single" w:sz="4" w:space="0" w:color="auto"/>
              <w:right w:val="single" w:sz="4" w:space="0" w:color="auto"/>
            </w:tcBorders>
            <w:shd w:val="clear" w:color="000000" w:fill="C5D9F1"/>
            <w:vAlign w:val="center"/>
            <w:hideMark/>
          </w:tcPr>
          <w:p w14:paraId="39C4BE1F"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49,5</w:t>
            </w:r>
          </w:p>
        </w:tc>
        <w:tc>
          <w:tcPr>
            <w:tcW w:w="1260" w:type="dxa"/>
            <w:tcBorders>
              <w:top w:val="nil"/>
              <w:left w:val="nil"/>
              <w:bottom w:val="single" w:sz="4" w:space="0" w:color="auto"/>
              <w:right w:val="single" w:sz="4" w:space="0" w:color="auto"/>
            </w:tcBorders>
            <w:shd w:val="clear" w:color="000000" w:fill="C5D9F1"/>
            <w:vAlign w:val="center"/>
            <w:hideMark/>
          </w:tcPr>
          <w:p w14:paraId="4BBE88FF"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37,4</w:t>
            </w:r>
          </w:p>
        </w:tc>
        <w:tc>
          <w:tcPr>
            <w:tcW w:w="1120" w:type="dxa"/>
            <w:tcBorders>
              <w:top w:val="nil"/>
              <w:left w:val="nil"/>
              <w:bottom w:val="single" w:sz="4" w:space="0" w:color="auto"/>
              <w:right w:val="single" w:sz="4" w:space="0" w:color="auto"/>
            </w:tcBorders>
            <w:shd w:val="clear" w:color="000000" w:fill="C5D9F1"/>
            <w:vAlign w:val="center"/>
            <w:hideMark/>
          </w:tcPr>
          <w:p w14:paraId="679A8164"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24,1</w:t>
            </w:r>
          </w:p>
        </w:tc>
      </w:tr>
      <w:tr w:rsidR="00A13B35" w:rsidRPr="005A3C94" w14:paraId="67704B17" w14:textId="77777777" w:rsidTr="00CF569F">
        <w:trPr>
          <w:trHeight w:val="315"/>
          <w:jc w:val="center"/>
        </w:trPr>
        <w:tc>
          <w:tcPr>
            <w:tcW w:w="960" w:type="dxa"/>
            <w:tcBorders>
              <w:top w:val="nil"/>
              <w:left w:val="single" w:sz="4" w:space="0" w:color="auto"/>
              <w:bottom w:val="single" w:sz="4" w:space="0" w:color="auto"/>
              <w:right w:val="single" w:sz="4" w:space="0" w:color="auto"/>
            </w:tcBorders>
            <w:shd w:val="clear" w:color="000000" w:fill="4F81BD"/>
            <w:vAlign w:val="center"/>
            <w:hideMark/>
          </w:tcPr>
          <w:p w14:paraId="40D06FA7" w14:textId="77777777" w:rsidR="00A13B35" w:rsidRPr="005A3C94" w:rsidRDefault="00A13B35" w:rsidP="00A13B35">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Kísérleti</w:t>
            </w:r>
          </w:p>
        </w:tc>
        <w:tc>
          <w:tcPr>
            <w:tcW w:w="1460" w:type="dxa"/>
            <w:tcBorders>
              <w:top w:val="nil"/>
              <w:left w:val="nil"/>
              <w:bottom w:val="single" w:sz="4" w:space="0" w:color="auto"/>
              <w:right w:val="single" w:sz="4" w:space="0" w:color="auto"/>
            </w:tcBorders>
            <w:shd w:val="clear" w:color="auto" w:fill="C5E0B3" w:themeFill="accent6" w:themeFillTint="66"/>
            <w:vAlign w:val="center"/>
            <w:hideMark/>
          </w:tcPr>
          <w:p w14:paraId="17582E1D"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39</w:t>
            </w:r>
          </w:p>
        </w:tc>
        <w:tc>
          <w:tcPr>
            <w:tcW w:w="1580" w:type="dxa"/>
            <w:tcBorders>
              <w:top w:val="nil"/>
              <w:left w:val="nil"/>
              <w:bottom w:val="single" w:sz="4" w:space="0" w:color="auto"/>
              <w:right w:val="single" w:sz="4" w:space="0" w:color="auto"/>
            </w:tcBorders>
            <w:shd w:val="clear" w:color="auto" w:fill="C5E0B3" w:themeFill="accent6" w:themeFillTint="66"/>
            <w:vAlign w:val="center"/>
            <w:hideMark/>
          </w:tcPr>
          <w:p w14:paraId="2CEDDD36"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38,5</w:t>
            </w:r>
          </w:p>
        </w:tc>
        <w:tc>
          <w:tcPr>
            <w:tcW w:w="1300" w:type="dxa"/>
            <w:tcBorders>
              <w:top w:val="nil"/>
              <w:left w:val="nil"/>
              <w:bottom w:val="single" w:sz="4" w:space="0" w:color="auto"/>
              <w:right w:val="single" w:sz="4" w:space="0" w:color="auto"/>
            </w:tcBorders>
            <w:shd w:val="clear" w:color="auto" w:fill="C5E0B3" w:themeFill="accent6" w:themeFillTint="66"/>
            <w:vAlign w:val="center"/>
            <w:hideMark/>
          </w:tcPr>
          <w:p w14:paraId="3C4C2FD1"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51,8</w:t>
            </w:r>
          </w:p>
        </w:tc>
        <w:tc>
          <w:tcPr>
            <w:tcW w:w="1260" w:type="dxa"/>
            <w:tcBorders>
              <w:top w:val="nil"/>
              <w:left w:val="nil"/>
              <w:bottom w:val="single" w:sz="4" w:space="0" w:color="auto"/>
              <w:right w:val="single" w:sz="4" w:space="0" w:color="auto"/>
            </w:tcBorders>
            <w:shd w:val="clear" w:color="auto" w:fill="C5E0B3" w:themeFill="accent6" w:themeFillTint="66"/>
            <w:vAlign w:val="center"/>
            <w:hideMark/>
          </w:tcPr>
          <w:p w14:paraId="51D33E8A"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48,6</w:t>
            </w:r>
          </w:p>
        </w:tc>
        <w:tc>
          <w:tcPr>
            <w:tcW w:w="1120" w:type="dxa"/>
            <w:tcBorders>
              <w:top w:val="nil"/>
              <w:left w:val="nil"/>
              <w:bottom w:val="single" w:sz="4" w:space="0" w:color="auto"/>
              <w:right w:val="single" w:sz="4" w:space="0" w:color="auto"/>
            </w:tcBorders>
            <w:shd w:val="clear" w:color="auto" w:fill="C5E0B3" w:themeFill="accent6" w:themeFillTint="66"/>
            <w:vAlign w:val="center"/>
            <w:hideMark/>
          </w:tcPr>
          <w:p w14:paraId="30131744"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20,7</w:t>
            </w:r>
          </w:p>
        </w:tc>
      </w:tr>
    </w:tbl>
    <w:p w14:paraId="2A1F21A2" w14:textId="2B793991" w:rsidR="00A13B35" w:rsidRPr="005A3C94" w:rsidRDefault="00DF1D13" w:rsidP="00AA3148">
      <w:pPr>
        <w:pStyle w:val="Kpalrs"/>
        <w:keepNext/>
        <w:spacing w:before="120"/>
      </w:pPr>
      <w:r>
        <w:fldChar w:fldCharType="begin"/>
      </w:r>
      <w:r>
        <w:instrText xml:space="preserve"> SEQ táblázat \* ARABIC </w:instrText>
      </w:r>
      <w:r>
        <w:fldChar w:fldCharType="separate"/>
      </w:r>
      <w:r w:rsidR="00DC5809">
        <w:rPr>
          <w:noProof/>
        </w:rPr>
        <w:t>19</w:t>
      </w:r>
      <w:r>
        <w:rPr>
          <w:noProof/>
        </w:rPr>
        <w:fldChar w:fldCharType="end"/>
      </w:r>
      <w:r w:rsidR="00A13B35" w:rsidRPr="005A3C94">
        <w:t>. táblázat: A matematika tesztek tanári értékelése</w:t>
      </w:r>
      <w:r w:rsidR="00A13B35" w:rsidRPr="005A3C94">
        <w:rPr>
          <w:u w:val="single"/>
        </w:rPr>
        <w:t xml:space="preserve"> kimenetkor</w:t>
      </w:r>
    </w:p>
    <w:tbl>
      <w:tblPr>
        <w:tblW w:w="7680" w:type="dxa"/>
        <w:jc w:val="center"/>
        <w:tblCellMar>
          <w:left w:w="70" w:type="dxa"/>
          <w:right w:w="70" w:type="dxa"/>
        </w:tblCellMar>
        <w:tblLook w:val="04A0" w:firstRow="1" w:lastRow="0" w:firstColumn="1" w:lastColumn="0" w:noHBand="0" w:noVBand="1"/>
      </w:tblPr>
      <w:tblGrid>
        <w:gridCol w:w="956"/>
        <w:gridCol w:w="1458"/>
        <w:gridCol w:w="1543"/>
        <w:gridCol w:w="1268"/>
        <w:gridCol w:w="1252"/>
        <w:gridCol w:w="1203"/>
      </w:tblGrid>
      <w:tr w:rsidR="00A13B35" w:rsidRPr="005A3C94" w14:paraId="5B1CA00B" w14:textId="77777777" w:rsidTr="00A13B35">
        <w:trPr>
          <w:trHeight w:val="900"/>
          <w:jc w:val="center"/>
        </w:trPr>
        <w:tc>
          <w:tcPr>
            <w:tcW w:w="956"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4F0B698B" w14:textId="77777777" w:rsidR="00A13B35" w:rsidRPr="005A3C94" w:rsidRDefault="00A13B35" w:rsidP="00A13B35">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 </w:t>
            </w:r>
          </w:p>
        </w:tc>
        <w:tc>
          <w:tcPr>
            <w:tcW w:w="1458" w:type="dxa"/>
            <w:tcBorders>
              <w:top w:val="single" w:sz="4" w:space="0" w:color="auto"/>
              <w:left w:val="nil"/>
              <w:bottom w:val="single" w:sz="4" w:space="0" w:color="auto"/>
              <w:right w:val="single" w:sz="4" w:space="0" w:color="auto"/>
            </w:tcBorders>
            <w:shd w:val="clear" w:color="000000" w:fill="4F81BD"/>
            <w:vAlign w:val="center"/>
            <w:hideMark/>
          </w:tcPr>
          <w:p w14:paraId="03DCE639" w14:textId="77777777" w:rsidR="00A13B35" w:rsidRPr="005A3C94" w:rsidRDefault="00A13B35" w:rsidP="00A13B35">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Összeredmény (%)</w:t>
            </w:r>
          </w:p>
        </w:tc>
        <w:tc>
          <w:tcPr>
            <w:tcW w:w="1543" w:type="dxa"/>
            <w:tcBorders>
              <w:top w:val="single" w:sz="4" w:space="0" w:color="auto"/>
              <w:left w:val="nil"/>
              <w:bottom w:val="single" w:sz="4" w:space="0" w:color="auto"/>
              <w:right w:val="single" w:sz="4" w:space="0" w:color="auto"/>
            </w:tcBorders>
            <w:shd w:val="clear" w:color="000000" w:fill="4F81BD"/>
            <w:vAlign w:val="center"/>
            <w:hideMark/>
          </w:tcPr>
          <w:p w14:paraId="4C78BB53" w14:textId="77777777" w:rsidR="00A13B35" w:rsidRPr="005A3C94" w:rsidRDefault="00A13B35" w:rsidP="00A13B35">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Geometria (%)</w:t>
            </w:r>
          </w:p>
        </w:tc>
        <w:tc>
          <w:tcPr>
            <w:tcW w:w="1268" w:type="dxa"/>
            <w:tcBorders>
              <w:top w:val="single" w:sz="4" w:space="0" w:color="auto"/>
              <w:left w:val="nil"/>
              <w:bottom w:val="single" w:sz="4" w:space="0" w:color="auto"/>
              <w:right w:val="single" w:sz="4" w:space="0" w:color="auto"/>
            </w:tcBorders>
            <w:shd w:val="clear" w:color="000000" w:fill="4F81BD"/>
            <w:vAlign w:val="center"/>
            <w:hideMark/>
          </w:tcPr>
          <w:p w14:paraId="4EB735D8" w14:textId="77777777" w:rsidR="00A13B35" w:rsidRPr="005A3C94" w:rsidRDefault="00A13B35" w:rsidP="00A13B35">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Számok (%)</w:t>
            </w:r>
          </w:p>
        </w:tc>
        <w:tc>
          <w:tcPr>
            <w:tcW w:w="1252" w:type="dxa"/>
            <w:tcBorders>
              <w:top w:val="single" w:sz="4" w:space="0" w:color="auto"/>
              <w:left w:val="nil"/>
              <w:bottom w:val="single" w:sz="4" w:space="0" w:color="auto"/>
              <w:right w:val="single" w:sz="4" w:space="0" w:color="auto"/>
            </w:tcBorders>
            <w:shd w:val="clear" w:color="000000" w:fill="4F81BD"/>
            <w:vAlign w:val="center"/>
            <w:hideMark/>
          </w:tcPr>
          <w:p w14:paraId="65997F60" w14:textId="77777777" w:rsidR="00A13B35" w:rsidRPr="005A3C94" w:rsidRDefault="00A13B35" w:rsidP="00A13B35">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Grafikonok (%)</w:t>
            </w:r>
          </w:p>
        </w:tc>
        <w:tc>
          <w:tcPr>
            <w:tcW w:w="1203" w:type="dxa"/>
            <w:tcBorders>
              <w:top w:val="single" w:sz="4" w:space="0" w:color="auto"/>
              <w:left w:val="nil"/>
              <w:bottom w:val="single" w:sz="4" w:space="0" w:color="auto"/>
              <w:right w:val="single" w:sz="4" w:space="0" w:color="auto"/>
            </w:tcBorders>
            <w:shd w:val="clear" w:color="000000" w:fill="4F81BD"/>
            <w:vAlign w:val="center"/>
            <w:hideMark/>
          </w:tcPr>
          <w:p w14:paraId="4CB872E5" w14:textId="77777777" w:rsidR="00A13B35" w:rsidRPr="005A3C94" w:rsidRDefault="00A13B35" w:rsidP="00A13B35">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Koordináta-rendszer (%)</w:t>
            </w:r>
          </w:p>
        </w:tc>
      </w:tr>
      <w:tr w:rsidR="00A13B35" w:rsidRPr="005A3C94" w14:paraId="0B462AC3" w14:textId="77777777" w:rsidTr="00A13B35">
        <w:trPr>
          <w:trHeight w:val="315"/>
          <w:jc w:val="center"/>
        </w:trPr>
        <w:tc>
          <w:tcPr>
            <w:tcW w:w="956" w:type="dxa"/>
            <w:tcBorders>
              <w:top w:val="nil"/>
              <w:left w:val="single" w:sz="4" w:space="0" w:color="auto"/>
              <w:bottom w:val="single" w:sz="4" w:space="0" w:color="auto"/>
              <w:right w:val="single" w:sz="4" w:space="0" w:color="auto"/>
            </w:tcBorders>
            <w:shd w:val="clear" w:color="000000" w:fill="4F81BD"/>
            <w:vAlign w:val="center"/>
            <w:hideMark/>
          </w:tcPr>
          <w:p w14:paraId="7434B290" w14:textId="77777777" w:rsidR="00A13B35" w:rsidRPr="005A3C94" w:rsidRDefault="00A13B35" w:rsidP="00A13B35">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Kontroll</w:t>
            </w:r>
          </w:p>
        </w:tc>
        <w:tc>
          <w:tcPr>
            <w:tcW w:w="1458" w:type="dxa"/>
            <w:tcBorders>
              <w:top w:val="nil"/>
              <w:left w:val="nil"/>
              <w:bottom w:val="single" w:sz="4" w:space="0" w:color="auto"/>
              <w:right w:val="single" w:sz="4" w:space="0" w:color="auto"/>
            </w:tcBorders>
            <w:shd w:val="clear" w:color="000000" w:fill="C5D9F1"/>
            <w:vAlign w:val="center"/>
            <w:hideMark/>
          </w:tcPr>
          <w:p w14:paraId="24B34616"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32</w:t>
            </w:r>
          </w:p>
        </w:tc>
        <w:tc>
          <w:tcPr>
            <w:tcW w:w="1543" w:type="dxa"/>
            <w:tcBorders>
              <w:top w:val="nil"/>
              <w:left w:val="nil"/>
              <w:bottom w:val="single" w:sz="4" w:space="0" w:color="auto"/>
              <w:right w:val="single" w:sz="4" w:space="0" w:color="auto"/>
            </w:tcBorders>
            <w:shd w:val="clear" w:color="000000" w:fill="C5D9F1"/>
            <w:vAlign w:val="center"/>
            <w:hideMark/>
          </w:tcPr>
          <w:p w14:paraId="0C947291"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33,7</w:t>
            </w:r>
          </w:p>
        </w:tc>
        <w:tc>
          <w:tcPr>
            <w:tcW w:w="1268" w:type="dxa"/>
            <w:tcBorders>
              <w:top w:val="nil"/>
              <w:left w:val="nil"/>
              <w:bottom w:val="single" w:sz="4" w:space="0" w:color="auto"/>
              <w:right w:val="single" w:sz="4" w:space="0" w:color="auto"/>
            </w:tcBorders>
            <w:shd w:val="clear" w:color="000000" w:fill="C5D9F1"/>
            <w:vAlign w:val="center"/>
            <w:hideMark/>
          </w:tcPr>
          <w:p w14:paraId="35FBDD79"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50</w:t>
            </w:r>
          </w:p>
        </w:tc>
        <w:tc>
          <w:tcPr>
            <w:tcW w:w="1252" w:type="dxa"/>
            <w:tcBorders>
              <w:top w:val="nil"/>
              <w:left w:val="nil"/>
              <w:bottom w:val="single" w:sz="4" w:space="0" w:color="auto"/>
              <w:right w:val="single" w:sz="4" w:space="0" w:color="auto"/>
            </w:tcBorders>
            <w:shd w:val="clear" w:color="000000" w:fill="C5D9F1"/>
            <w:vAlign w:val="center"/>
            <w:hideMark/>
          </w:tcPr>
          <w:p w14:paraId="1A6C38A9"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69,9</w:t>
            </w:r>
          </w:p>
        </w:tc>
        <w:tc>
          <w:tcPr>
            <w:tcW w:w="1203" w:type="dxa"/>
            <w:tcBorders>
              <w:top w:val="nil"/>
              <w:left w:val="nil"/>
              <w:bottom w:val="single" w:sz="4" w:space="0" w:color="auto"/>
              <w:right w:val="single" w:sz="4" w:space="0" w:color="auto"/>
            </w:tcBorders>
            <w:shd w:val="clear" w:color="000000" w:fill="C5D9F1"/>
            <w:vAlign w:val="center"/>
            <w:hideMark/>
          </w:tcPr>
          <w:p w14:paraId="44C66CBB"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4,5</w:t>
            </w:r>
          </w:p>
        </w:tc>
      </w:tr>
      <w:tr w:rsidR="00CF569F" w:rsidRPr="005A3C94" w14:paraId="2681A746" w14:textId="77777777" w:rsidTr="00CF569F">
        <w:trPr>
          <w:trHeight w:val="315"/>
          <w:jc w:val="center"/>
        </w:trPr>
        <w:tc>
          <w:tcPr>
            <w:tcW w:w="956" w:type="dxa"/>
            <w:tcBorders>
              <w:top w:val="nil"/>
              <w:left w:val="single" w:sz="4" w:space="0" w:color="auto"/>
              <w:bottom w:val="single" w:sz="4" w:space="0" w:color="auto"/>
              <w:right w:val="single" w:sz="4" w:space="0" w:color="auto"/>
            </w:tcBorders>
            <w:shd w:val="clear" w:color="000000" w:fill="4F81BD"/>
            <w:vAlign w:val="center"/>
            <w:hideMark/>
          </w:tcPr>
          <w:p w14:paraId="1DE332BD" w14:textId="77777777" w:rsidR="00A13B35" w:rsidRPr="005A3C94" w:rsidRDefault="00A13B35" w:rsidP="00A13B35">
            <w:pPr>
              <w:spacing w:after="0" w:line="240" w:lineRule="auto"/>
              <w:jc w:val="center"/>
              <w:rPr>
                <w:rFonts w:ascii="Times New Roman" w:eastAsia="Times New Roman" w:hAnsi="Times New Roman" w:cs="Times New Roman"/>
                <w:color w:val="FFFFFF"/>
                <w:lang w:eastAsia="hu-HU"/>
              </w:rPr>
            </w:pPr>
            <w:r w:rsidRPr="005A3C94">
              <w:rPr>
                <w:rFonts w:ascii="Times New Roman" w:eastAsia="Times New Roman" w:hAnsi="Times New Roman" w:cs="Times New Roman"/>
                <w:color w:val="FFFFFF"/>
                <w:lang w:eastAsia="hu-HU"/>
              </w:rPr>
              <w:t>Kísérleti</w:t>
            </w:r>
          </w:p>
        </w:tc>
        <w:tc>
          <w:tcPr>
            <w:tcW w:w="1458" w:type="dxa"/>
            <w:tcBorders>
              <w:top w:val="nil"/>
              <w:left w:val="nil"/>
              <w:bottom w:val="single" w:sz="4" w:space="0" w:color="auto"/>
              <w:right w:val="single" w:sz="4" w:space="0" w:color="auto"/>
            </w:tcBorders>
            <w:shd w:val="clear" w:color="auto" w:fill="C5E0B3" w:themeFill="accent6" w:themeFillTint="66"/>
            <w:vAlign w:val="center"/>
            <w:hideMark/>
          </w:tcPr>
          <w:p w14:paraId="301E4378"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49,4</w:t>
            </w:r>
          </w:p>
        </w:tc>
        <w:tc>
          <w:tcPr>
            <w:tcW w:w="1543" w:type="dxa"/>
            <w:tcBorders>
              <w:top w:val="nil"/>
              <w:left w:val="nil"/>
              <w:bottom w:val="single" w:sz="4" w:space="0" w:color="auto"/>
              <w:right w:val="single" w:sz="4" w:space="0" w:color="auto"/>
            </w:tcBorders>
            <w:shd w:val="clear" w:color="auto" w:fill="C5E0B3" w:themeFill="accent6" w:themeFillTint="66"/>
            <w:vAlign w:val="center"/>
            <w:hideMark/>
          </w:tcPr>
          <w:p w14:paraId="140F1F06"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39,4</w:t>
            </w:r>
          </w:p>
        </w:tc>
        <w:tc>
          <w:tcPr>
            <w:tcW w:w="1268" w:type="dxa"/>
            <w:tcBorders>
              <w:top w:val="nil"/>
              <w:left w:val="nil"/>
              <w:bottom w:val="single" w:sz="4" w:space="0" w:color="auto"/>
              <w:right w:val="single" w:sz="4" w:space="0" w:color="auto"/>
            </w:tcBorders>
            <w:shd w:val="clear" w:color="auto" w:fill="C5E0B3" w:themeFill="accent6" w:themeFillTint="66"/>
            <w:vAlign w:val="center"/>
            <w:hideMark/>
          </w:tcPr>
          <w:p w14:paraId="2325E726"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64,5</w:t>
            </w:r>
          </w:p>
        </w:tc>
        <w:tc>
          <w:tcPr>
            <w:tcW w:w="1252" w:type="dxa"/>
            <w:tcBorders>
              <w:top w:val="nil"/>
              <w:left w:val="nil"/>
              <w:bottom w:val="single" w:sz="4" w:space="0" w:color="auto"/>
              <w:right w:val="single" w:sz="4" w:space="0" w:color="auto"/>
            </w:tcBorders>
            <w:shd w:val="clear" w:color="auto" w:fill="C5E0B3" w:themeFill="accent6" w:themeFillTint="66"/>
            <w:vAlign w:val="center"/>
            <w:hideMark/>
          </w:tcPr>
          <w:p w14:paraId="0021589A"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64,2</w:t>
            </w:r>
          </w:p>
        </w:tc>
        <w:tc>
          <w:tcPr>
            <w:tcW w:w="1203" w:type="dxa"/>
            <w:tcBorders>
              <w:top w:val="nil"/>
              <w:left w:val="nil"/>
              <w:bottom w:val="single" w:sz="4" w:space="0" w:color="auto"/>
              <w:right w:val="single" w:sz="4" w:space="0" w:color="auto"/>
            </w:tcBorders>
            <w:shd w:val="clear" w:color="auto" w:fill="C5E0B3" w:themeFill="accent6" w:themeFillTint="66"/>
            <w:vAlign w:val="center"/>
            <w:hideMark/>
          </w:tcPr>
          <w:p w14:paraId="1A50BD7A" w14:textId="77777777" w:rsidR="00A13B35" w:rsidRPr="005A3C94" w:rsidRDefault="00A13B35" w:rsidP="00A13B35">
            <w:pPr>
              <w:spacing w:after="0" w:line="240" w:lineRule="auto"/>
              <w:jc w:val="center"/>
              <w:rPr>
                <w:rFonts w:ascii="Times New Roman" w:eastAsia="Times New Roman" w:hAnsi="Times New Roman" w:cs="Times New Roman"/>
                <w:color w:val="000000"/>
                <w:sz w:val="24"/>
                <w:szCs w:val="24"/>
                <w:lang w:eastAsia="hu-HU"/>
              </w:rPr>
            </w:pPr>
            <w:r w:rsidRPr="005A3C94">
              <w:rPr>
                <w:rFonts w:ascii="Times New Roman" w:eastAsia="Times New Roman" w:hAnsi="Times New Roman" w:cs="Times New Roman"/>
                <w:color w:val="000000"/>
                <w:sz w:val="24"/>
                <w:szCs w:val="24"/>
                <w:lang w:eastAsia="hu-HU"/>
              </w:rPr>
              <w:t>48,4</w:t>
            </w:r>
          </w:p>
        </w:tc>
      </w:tr>
    </w:tbl>
    <w:p w14:paraId="2101519C" w14:textId="2563BAEA" w:rsidR="00C815A9" w:rsidRPr="005A3C94" w:rsidRDefault="00AA3148" w:rsidP="008C67D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A táblázatok alapján látszik, hogy mindkét mérésen viszonylag rosszul szerepeltek a kontroll és kísérleti csoportok diákjai is, egyik esetben sem érték el az 50%-os összesített eredményt. Azonban, összhangban korábbi megfigyeléseinkkel, a kísérleti csoportban szereplő diákok jelentősen, a kontroll csoportnál jóval nagyobb mértékben javított összeredményén.</w:t>
      </w:r>
    </w:p>
    <w:p w14:paraId="1AAAD4F2" w14:textId="29E60385" w:rsidR="00E51672" w:rsidRPr="009E4F2E" w:rsidRDefault="00E51672" w:rsidP="009E4F2E">
      <w:pPr>
        <w:spacing w:line="276" w:lineRule="auto"/>
        <w:jc w:val="both"/>
        <w:rPr>
          <w:rFonts w:ascii="Times New Roman" w:hAnsi="Times New Roman" w:cs="Times New Roman"/>
          <w:sz w:val="24"/>
          <w:szCs w:val="24"/>
        </w:rPr>
      </w:pPr>
      <w:r w:rsidRPr="009E4F2E">
        <w:rPr>
          <w:rFonts w:ascii="Times New Roman" w:hAnsi="Times New Roman" w:cs="Times New Roman"/>
          <w:sz w:val="24"/>
          <w:szCs w:val="24"/>
        </w:rPr>
        <w:t xml:space="preserve">Összességében a kísérleti csoportba tartozó gyerekek matematika teljesítménye számottevően javult a program hatására. Ráadásul nemcsak a tudásuk javult, de nőtt a magabiztosságuk is, ugyanis több feladatot próbáltak megoldani a program hatására.  Azonban a vagyoni helyzetnek ebben az esetben is meghatározó szerepe van, a legszegényebbek leszakadása nem állt meg a Kreatív Partnerség hatására. </w:t>
      </w:r>
    </w:p>
    <w:p w14:paraId="5C33601B" w14:textId="77777777" w:rsidR="00A54A7D" w:rsidRPr="009E4F2E" w:rsidRDefault="00A54A7D" w:rsidP="009E4F2E">
      <w:pPr>
        <w:jc w:val="both"/>
        <w:rPr>
          <w:rFonts w:ascii="Times New Roman" w:eastAsiaTheme="majorEastAsia" w:hAnsi="Times New Roman" w:cs="Times New Roman"/>
          <w:color w:val="2E74B5" w:themeColor="accent1" w:themeShade="BF"/>
          <w:sz w:val="24"/>
          <w:szCs w:val="24"/>
        </w:rPr>
      </w:pPr>
      <w:r w:rsidRPr="009E4F2E">
        <w:rPr>
          <w:rFonts w:ascii="Times New Roman" w:hAnsi="Times New Roman" w:cs="Times New Roman"/>
          <w:sz w:val="24"/>
          <w:szCs w:val="24"/>
        </w:rPr>
        <w:br w:type="page"/>
      </w:r>
    </w:p>
    <w:p w14:paraId="4682CC4A" w14:textId="04484B27" w:rsidR="00AE4601" w:rsidRDefault="001F2659" w:rsidP="00F80B87">
      <w:pPr>
        <w:pStyle w:val="Cmsor1"/>
        <w:spacing w:line="276" w:lineRule="auto"/>
        <w:rPr>
          <w:rStyle w:val="Cmsor2Char"/>
        </w:rPr>
      </w:pPr>
      <w:bookmarkStart w:id="20" w:name="_Toc437242830"/>
      <w:r w:rsidRPr="005A3C94">
        <w:rPr>
          <w:rStyle w:val="Cmsor2Char"/>
        </w:rPr>
        <w:t>A l</w:t>
      </w:r>
      <w:r w:rsidR="00C815A9" w:rsidRPr="005A3C94">
        <w:rPr>
          <w:rStyle w:val="Cmsor2Char"/>
        </w:rPr>
        <w:t>egfontosabb eredmények iskolánként</w:t>
      </w:r>
      <w:r w:rsidRPr="005A3C94">
        <w:rPr>
          <w:rStyle w:val="Cmsor2Char"/>
        </w:rPr>
        <w:t>i bontásban</w:t>
      </w:r>
      <w:bookmarkEnd w:id="20"/>
    </w:p>
    <w:p w14:paraId="4F3B573A" w14:textId="226449F4" w:rsidR="00DC5809" w:rsidRDefault="00DC5809" w:rsidP="00DC5809">
      <w:pPr>
        <w:spacing w:line="276" w:lineRule="auto"/>
        <w:jc w:val="both"/>
        <w:rPr>
          <w:rFonts w:ascii="Times New Roman" w:hAnsi="Times New Roman" w:cs="Times New Roman"/>
          <w:sz w:val="24"/>
          <w:szCs w:val="24"/>
        </w:rPr>
      </w:pPr>
      <w:bookmarkStart w:id="21" w:name="_Toc437242831"/>
      <w:r>
        <w:rPr>
          <w:rFonts w:ascii="Times New Roman" w:hAnsi="Times New Roman" w:cs="Times New Roman"/>
          <w:sz w:val="24"/>
          <w:szCs w:val="24"/>
        </w:rPr>
        <w:t>Ebben a</w:t>
      </w:r>
      <w:r w:rsidRPr="00DC5809">
        <w:rPr>
          <w:rFonts w:ascii="Times New Roman" w:hAnsi="Times New Roman" w:cs="Times New Roman"/>
          <w:sz w:val="24"/>
          <w:szCs w:val="24"/>
        </w:rPr>
        <w:t xml:space="preserve"> fejezetben intézmények sze</w:t>
      </w:r>
      <w:r>
        <w:rPr>
          <w:rFonts w:ascii="Times New Roman" w:hAnsi="Times New Roman" w:cs="Times New Roman"/>
          <w:sz w:val="24"/>
          <w:szCs w:val="24"/>
        </w:rPr>
        <w:t>rinti bontásban is elemezzük</w:t>
      </w:r>
      <w:r w:rsidRPr="00DC5809">
        <w:rPr>
          <w:rFonts w:ascii="Times New Roman" w:hAnsi="Times New Roman" w:cs="Times New Roman"/>
          <w:sz w:val="24"/>
          <w:szCs w:val="24"/>
        </w:rPr>
        <w:t xml:space="preserve"> az eddigiekben </w:t>
      </w:r>
      <w:r>
        <w:rPr>
          <w:rFonts w:ascii="Times New Roman" w:hAnsi="Times New Roman" w:cs="Times New Roman"/>
          <w:sz w:val="24"/>
          <w:szCs w:val="24"/>
        </w:rPr>
        <w:t>vizsgált szociális attitűdök és kompetenciák, olvasási kiépültség és matematikai képesség területeket.</w:t>
      </w:r>
    </w:p>
    <w:p w14:paraId="13E39B37" w14:textId="68200D75" w:rsidR="00DC5809" w:rsidRDefault="00DC5809" w:rsidP="00DC5809">
      <w:pPr>
        <w:spacing w:line="276" w:lineRule="auto"/>
        <w:jc w:val="both"/>
        <w:rPr>
          <w:rFonts w:ascii="Times New Roman" w:hAnsi="Times New Roman" w:cs="Times New Roman"/>
          <w:sz w:val="24"/>
          <w:szCs w:val="24"/>
        </w:rPr>
      </w:pPr>
      <w:r>
        <w:rPr>
          <w:rFonts w:ascii="Times New Roman" w:hAnsi="Times New Roman" w:cs="Times New Roman"/>
          <w:sz w:val="24"/>
          <w:szCs w:val="24"/>
        </w:rPr>
        <w:t>Az alábbi táblázat bemutatja a kontroll és kísérleti csoportokba tartozó diákok megoszlását az pécsi Budai-városkapu Iskola intézményegységein belül:</w:t>
      </w:r>
    </w:p>
    <w:p w14:paraId="2C398316" w14:textId="71470ACC" w:rsidR="00DC5809" w:rsidRDefault="00DF1D13" w:rsidP="00DC5809">
      <w:pPr>
        <w:pStyle w:val="Kpalrs"/>
        <w:keepNext/>
      </w:pPr>
      <w:r>
        <w:fldChar w:fldCharType="begin"/>
      </w:r>
      <w:r>
        <w:instrText xml:space="preserve"> SEQ táblázat \* ARABIC </w:instrText>
      </w:r>
      <w:r>
        <w:fldChar w:fldCharType="separate"/>
      </w:r>
      <w:r w:rsidR="00DC5809">
        <w:rPr>
          <w:noProof/>
        </w:rPr>
        <w:t>20</w:t>
      </w:r>
      <w:r>
        <w:rPr>
          <w:noProof/>
        </w:rPr>
        <w:fldChar w:fldCharType="end"/>
      </w:r>
      <w:r w:rsidR="00DC5809">
        <w:t>. táblázat: Diákok megoszlása intézmények szerint</w:t>
      </w:r>
    </w:p>
    <w:tbl>
      <w:tblPr>
        <w:tblW w:w="7960" w:type="dxa"/>
        <w:jc w:val="center"/>
        <w:tblCellMar>
          <w:left w:w="0" w:type="dxa"/>
          <w:right w:w="0" w:type="dxa"/>
        </w:tblCellMar>
        <w:tblLook w:val="04A0" w:firstRow="1" w:lastRow="0" w:firstColumn="1" w:lastColumn="0" w:noHBand="0" w:noVBand="1"/>
      </w:tblPr>
      <w:tblGrid>
        <w:gridCol w:w="960"/>
        <w:gridCol w:w="1860"/>
        <w:gridCol w:w="1780"/>
        <w:gridCol w:w="1660"/>
        <w:gridCol w:w="1700"/>
      </w:tblGrid>
      <w:tr w:rsidR="00DC5809" w14:paraId="58A93BFB" w14:textId="77777777" w:rsidTr="00DC5809">
        <w:trPr>
          <w:trHeight w:val="712"/>
          <w:jc w:val="center"/>
        </w:trPr>
        <w:tc>
          <w:tcPr>
            <w:tcW w:w="960" w:type="dxa"/>
            <w:tcBorders>
              <w:top w:val="single" w:sz="4" w:space="0" w:color="auto"/>
              <w:left w:val="single" w:sz="4" w:space="0" w:color="auto"/>
              <w:bottom w:val="single" w:sz="4" w:space="0" w:color="auto"/>
              <w:right w:val="single" w:sz="4" w:space="0" w:color="auto"/>
            </w:tcBorders>
            <w:shd w:val="clear" w:color="000000" w:fill="4F81BD"/>
            <w:tcMar>
              <w:top w:w="15" w:type="dxa"/>
              <w:left w:w="15" w:type="dxa"/>
              <w:bottom w:w="0" w:type="dxa"/>
              <w:right w:w="15" w:type="dxa"/>
            </w:tcMar>
            <w:vAlign w:val="center"/>
            <w:hideMark/>
          </w:tcPr>
          <w:p w14:paraId="0142E48D" w14:textId="77777777" w:rsidR="00DC5809" w:rsidRDefault="00DC5809">
            <w:pPr>
              <w:jc w:val="center"/>
              <w:rPr>
                <w:color w:val="FFFFFF"/>
              </w:rPr>
            </w:pPr>
            <w:r>
              <w:rPr>
                <w:color w:val="FFFFFF"/>
              </w:rPr>
              <w:t> </w:t>
            </w:r>
          </w:p>
        </w:tc>
        <w:tc>
          <w:tcPr>
            <w:tcW w:w="1860" w:type="dxa"/>
            <w:tcBorders>
              <w:top w:val="single" w:sz="4" w:space="0" w:color="auto"/>
              <w:left w:val="nil"/>
              <w:bottom w:val="single" w:sz="4" w:space="0" w:color="auto"/>
              <w:right w:val="single" w:sz="4" w:space="0" w:color="auto"/>
            </w:tcBorders>
            <w:shd w:val="clear" w:color="000000" w:fill="4F81BD"/>
            <w:tcMar>
              <w:top w:w="15" w:type="dxa"/>
              <w:left w:w="15" w:type="dxa"/>
              <w:bottom w:w="0" w:type="dxa"/>
              <w:right w:w="15" w:type="dxa"/>
            </w:tcMar>
            <w:vAlign w:val="center"/>
            <w:hideMark/>
          </w:tcPr>
          <w:p w14:paraId="7E46B4AF" w14:textId="77777777" w:rsidR="00DC5809" w:rsidRDefault="00DC5809">
            <w:pPr>
              <w:jc w:val="center"/>
              <w:rPr>
                <w:color w:val="FFFFFF"/>
              </w:rPr>
            </w:pPr>
            <w:r>
              <w:rPr>
                <w:color w:val="FFFFFF"/>
              </w:rPr>
              <w:t>Gyárvárosi Intézményegység</w:t>
            </w:r>
          </w:p>
        </w:tc>
        <w:tc>
          <w:tcPr>
            <w:tcW w:w="1780" w:type="dxa"/>
            <w:tcBorders>
              <w:top w:val="single" w:sz="4" w:space="0" w:color="auto"/>
              <w:left w:val="nil"/>
              <w:bottom w:val="single" w:sz="4" w:space="0" w:color="auto"/>
              <w:right w:val="single" w:sz="4" w:space="0" w:color="auto"/>
            </w:tcBorders>
            <w:shd w:val="clear" w:color="000000" w:fill="4F81BD"/>
            <w:tcMar>
              <w:top w:w="15" w:type="dxa"/>
              <w:left w:w="15" w:type="dxa"/>
              <w:bottom w:w="0" w:type="dxa"/>
              <w:right w:w="15" w:type="dxa"/>
            </w:tcMar>
            <w:vAlign w:val="center"/>
            <w:hideMark/>
          </w:tcPr>
          <w:p w14:paraId="798E9801" w14:textId="77777777" w:rsidR="00DC5809" w:rsidRDefault="00DC5809">
            <w:pPr>
              <w:jc w:val="center"/>
              <w:rPr>
                <w:color w:val="FFFFFF"/>
              </w:rPr>
            </w:pPr>
            <w:r>
              <w:rPr>
                <w:color w:val="FFFFFF"/>
              </w:rPr>
              <w:t>Meszesi Intézményegység</w:t>
            </w:r>
          </w:p>
        </w:tc>
        <w:tc>
          <w:tcPr>
            <w:tcW w:w="1660" w:type="dxa"/>
            <w:tcBorders>
              <w:top w:val="single" w:sz="4" w:space="0" w:color="auto"/>
              <w:left w:val="nil"/>
              <w:bottom w:val="single" w:sz="4" w:space="0" w:color="auto"/>
              <w:right w:val="single" w:sz="4" w:space="0" w:color="auto"/>
            </w:tcBorders>
            <w:shd w:val="clear" w:color="000000" w:fill="4F81BD"/>
            <w:tcMar>
              <w:top w:w="15" w:type="dxa"/>
              <w:left w:w="15" w:type="dxa"/>
              <w:bottom w:w="0" w:type="dxa"/>
              <w:right w:w="15" w:type="dxa"/>
            </w:tcMar>
            <w:vAlign w:val="center"/>
            <w:hideMark/>
          </w:tcPr>
          <w:p w14:paraId="6E6A6276" w14:textId="77777777" w:rsidR="00DC5809" w:rsidRDefault="00DC5809">
            <w:pPr>
              <w:jc w:val="center"/>
              <w:rPr>
                <w:color w:val="FFFFFF"/>
              </w:rPr>
            </w:pPr>
            <w:r>
              <w:rPr>
                <w:color w:val="FFFFFF"/>
              </w:rPr>
              <w:t>Bártfa utcai Intézményegység</w:t>
            </w:r>
          </w:p>
        </w:tc>
        <w:tc>
          <w:tcPr>
            <w:tcW w:w="1700" w:type="dxa"/>
            <w:tcBorders>
              <w:top w:val="single" w:sz="4" w:space="0" w:color="auto"/>
              <w:left w:val="nil"/>
              <w:bottom w:val="single" w:sz="4" w:space="0" w:color="auto"/>
              <w:right w:val="single" w:sz="4" w:space="0" w:color="auto"/>
            </w:tcBorders>
            <w:shd w:val="clear" w:color="000000" w:fill="4F81BD"/>
            <w:tcMar>
              <w:top w:w="15" w:type="dxa"/>
              <w:left w:w="15" w:type="dxa"/>
              <w:bottom w:w="0" w:type="dxa"/>
              <w:right w:w="15" w:type="dxa"/>
            </w:tcMar>
            <w:vAlign w:val="center"/>
            <w:hideMark/>
          </w:tcPr>
          <w:p w14:paraId="02502BB4" w14:textId="77777777" w:rsidR="00DC5809" w:rsidRDefault="00DC5809">
            <w:pPr>
              <w:jc w:val="center"/>
              <w:rPr>
                <w:color w:val="FFFFFF"/>
              </w:rPr>
            </w:pPr>
            <w:r>
              <w:rPr>
                <w:color w:val="FFFFFF"/>
              </w:rPr>
              <w:t>Somogyi Intézményegység</w:t>
            </w:r>
          </w:p>
        </w:tc>
      </w:tr>
      <w:tr w:rsidR="00DC5809" w14:paraId="3A08F676" w14:textId="77777777" w:rsidTr="00A71ACC">
        <w:trPr>
          <w:trHeight w:val="379"/>
          <w:jc w:val="center"/>
        </w:trPr>
        <w:tc>
          <w:tcPr>
            <w:tcW w:w="960" w:type="dxa"/>
            <w:tcBorders>
              <w:top w:val="nil"/>
              <w:left w:val="single" w:sz="4" w:space="0" w:color="auto"/>
              <w:bottom w:val="single" w:sz="4" w:space="0" w:color="auto"/>
              <w:right w:val="single" w:sz="4" w:space="0" w:color="auto"/>
            </w:tcBorders>
            <w:shd w:val="clear" w:color="000000" w:fill="4F81BD"/>
            <w:tcMar>
              <w:top w:w="15" w:type="dxa"/>
              <w:left w:w="15" w:type="dxa"/>
              <w:bottom w:w="0" w:type="dxa"/>
              <w:right w:w="15" w:type="dxa"/>
            </w:tcMar>
            <w:vAlign w:val="center"/>
            <w:hideMark/>
          </w:tcPr>
          <w:p w14:paraId="6F6EF0BD" w14:textId="77777777" w:rsidR="00DC5809" w:rsidRDefault="00DC5809">
            <w:pPr>
              <w:jc w:val="center"/>
              <w:rPr>
                <w:color w:val="FFFFFF"/>
              </w:rPr>
            </w:pPr>
            <w:r>
              <w:rPr>
                <w:color w:val="FFFFFF"/>
              </w:rPr>
              <w:t>Kontroll</w:t>
            </w:r>
          </w:p>
        </w:tc>
        <w:tc>
          <w:tcPr>
            <w:tcW w:w="1860"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vAlign w:val="bottom"/>
            <w:hideMark/>
          </w:tcPr>
          <w:p w14:paraId="0E166A5D" w14:textId="77777777" w:rsidR="00DC5809" w:rsidRPr="00A71ACC" w:rsidRDefault="00DC5809">
            <w:pPr>
              <w:jc w:val="center"/>
              <w:rPr>
                <w:color w:val="000000"/>
                <w:sz w:val="18"/>
                <w:szCs w:val="24"/>
              </w:rPr>
            </w:pPr>
            <w:r w:rsidRPr="00A71ACC">
              <w:rPr>
                <w:color w:val="000000"/>
                <w:sz w:val="18"/>
              </w:rPr>
              <w:t>17</w:t>
            </w:r>
          </w:p>
        </w:tc>
        <w:tc>
          <w:tcPr>
            <w:tcW w:w="1780"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vAlign w:val="bottom"/>
            <w:hideMark/>
          </w:tcPr>
          <w:p w14:paraId="0CFB3440" w14:textId="77777777" w:rsidR="00DC5809" w:rsidRPr="00A71ACC" w:rsidRDefault="00DC5809">
            <w:pPr>
              <w:jc w:val="center"/>
              <w:rPr>
                <w:color w:val="000000"/>
                <w:sz w:val="18"/>
              </w:rPr>
            </w:pPr>
            <w:r w:rsidRPr="00A71ACC">
              <w:rPr>
                <w:color w:val="000000"/>
                <w:sz w:val="18"/>
              </w:rPr>
              <w:t>27</w:t>
            </w:r>
          </w:p>
        </w:tc>
        <w:tc>
          <w:tcPr>
            <w:tcW w:w="1660"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vAlign w:val="bottom"/>
            <w:hideMark/>
          </w:tcPr>
          <w:p w14:paraId="1C103326" w14:textId="77777777" w:rsidR="00DC5809" w:rsidRPr="00A71ACC" w:rsidRDefault="00DC5809">
            <w:pPr>
              <w:jc w:val="center"/>
              <w:rPr>
                <w:color w:val="000000"/>
                <w:sz w:val="18"/>
              </w:rPr>
            </w:pPr>
            <w:r w:rsidRPr="00A71ACC">
              <w:rPr>
                <w:color w:val="000000"/>
                <w:sz w:val="18"/>
              </w:rPr>
              <w:t> </w:t>
            </w:r>
          </w:p>
        </w:tc>
        <w:tc>
          <w:tcPr>
            <w:tcW w:w="1700"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vAlign w:val="bottom"/>
            <w:hideMark/>
          </w:tcPr>
          <w:p w14:paraId="3486FF9D" w14:textId="77777777" w:rsidR="00DC5809" w:rsidRPr="00A71ACC" w:rsidRDefault="00DC5809">
            <w:pPr>
              <w:jc w:val="center"/>
              <w:rPr>
                <w:color w:val="000000"/>
                <w:sz w:val="18"/>
              </w:rPr>
            </w:pPr>
            <w:r w:rsidRPr="00A71ACC">
              <w:rPr>
                <w:color w:val="000000"/>
                <w:sz w:val="18"/>
              </w:rPr>
              <w:t> </w:t>
            </w:r>
          </w:p>
        </w:tc>
      </w:tr>
      <w:tr w:rsidR="00DC5809" w14:paraId="1DB80D8D" w14:textId="77777777" w:rsidTr="00A71ACC">
        <w:trPr>
          <w:trHeight w:val="343"/>
          <w:jc w:val="center"/>
        </w:trPr>
        <w:tc>
          <w:tcPr>
            <w:tcW w:w="960" w:type="dxa"/>
            <w:tcBorders>
              <w:top w:val="nil"/>
              <w:left w:val="single" w:sz="4" w:space="0" w:color="auto"/>
              <w:bottom w:val="single" w:sz="4" w:space="0" w:color="auto"/>
              <w:right w:val="single" w:sz="4" w:space="0" w:color="auto"/>
            </w:tcBorders>
            <w:shd w:val="clear" w:color="000000" w:fill="4F81BD"/>
            <w:tcMar>
              <w:top w:w="15" w:type="dxa"/>
              <w:left w:w="15" w:type="dxa"/>
              <w:bottom w:w="0" w:type="dxa"/>
              <w:right w:w="15" w:type="dxa"/>
            </w:tcMar>
            <w:vAlign w:val="center"/>
            <w:hideMark/>
          </w:tcPr>
          <w:p w14:paraId="04E3F133" w14:textId="77777777" w:rsidR="00DC5809" w:rsidRDefault="00DC5809">
            <w:pPr>
              <w:jc w:val="center"/>
              <w:rPr>
                <w:color w:val="FFFFFF"/>
              </w:rPr>
            </w:pPr>
            <w:r>
              <w:rPr>
                <w:color w:val="FFFFFF"/>
              </w:rPr>
              <w:t xml:space="preserve">Kísérleti </w:t>
            </w:r>
          </w:p>
        </w:tc>
        <w:tc>
          <w:tcPr>
            <w:tcW w:w="1860" w:type="dxa"/>
            <w:tcBorders>
              <w:top w:val="nil"/>
              <w:left w:val="nil"/>
              <w:bottom w:val="single" w:sz="4" w:space="0" w:color="auto"/>
              <w:right w:val="single" w:sz="4" w:space="0" w:color="auto"/>
            </w:tcBorders>
            <w:shd w:val="clear" w:color="000000" w:fill="D8E4BC"/>
            <w:tcMar>
              <w:top w:w="15" w:type="dxa"/>
              <w:left w:w="15" w:type="dxa"/>
              <w:bottom w:w="0" w:type="dxa"/>
              <w:right w:w="15" w:type="dxa"/>
            </w:tcMar>
            <w:vAlign w:val="bottom"/>
            <w:hideMark/>
          </w:tcPr>
          <w:p w14:paraId="37A8ED52" w14:textId="77777777" w:rsidR="00DC5809" w:rsidRPr="00A71ACC" w:rsidRDefault="00DC5809">
            <w:pPr>
              <w:jc w:val="center"/>
              <w:rPr>
                <w:color w:val="000000"/>
                <w:sz w:val="18"/>
                <w:szCs w:val="24"/>
              </w:rPr>
            </w:pPr>
            <w:r w:rsidRPr="00A71ACC">
              <w:rPr>
                <w:color w:val="000000"/>
                <w:sz w:val="18"/>
              </w:rPr>
              <w:t> </w:t>
            </w:r>
          </w:p>
        </w:tc>
        <w:tc>
          <w:tcPr>
            <w:tcW w:w="1780" w:type="dxa"/>
            <w:tcBorders>
              <w:top w:val="nil"/>
              <w:left w:val="nil"/>
              <w:bottom w:val="single" w:sz="4" w:space="0" w:color="auto"/>
              <w:right w:val="single" w:sz="4" w:space="0" w:color="auto"/>
            </w:tcBorders>
            <w:shd w:val="clear" w:color="000000" w:fill="D8E4BC"/>
            <w:tcMar>
              <w:top w:w="15" w:type="dxa"/>
              <w:left w:w="15" w:type="dxa"/>
              <w:bottom w:w="0" w:type="dxa"/>
              <w:right w:w="15" w:type="dxa"/>
            </w:tcMar>
            <w:vAlign w:val="bottom"/>
            <w:hideMark/>
          </w:tcPr>
          <w:p w14:paraId="66A53AAE" w14:textId="77777777" w:rsidR="00DC5809" w:rsidRPr="00A71ACC" w:rsidRDefault="00DC5809">
            <w:pPr>
              <w:jc w:val="center"/>
              <w:rPr>
                <w:color w:val="000000"/>
                <w:sz w:val="18"/>
              </w:rPr>
            </w:pPr>
            <w:r w:rsidRPr="00A71ACC">
              <w:rPr>
                <w:color w:val="000000"/>
                <w:sz w:val="18"/>
              </w:rPr>
              <w:t>18</w:t>
            </w:r>
          </w:p>
        </w:tc>
        <w:tc>
          <w:tcPr>
            <w:tcW w:w="1660" w:type="dxa"/>
            <w:tcBorders>
              <w:top w:val="nil"/>
              <w:left w:val="nil"/>
              <w:bottom w:val="single" w:sz="4" w:space="0" w:color="auto"/>
              <w:right w:val="single" w:sz="4" w:space="0" w:color="auto"/>
            </w:tcBorders>
            <w:shd w:val="clear" w:color="000000" w:fill="D8E4BC"/>
            <w:tcMar>
              <w:top w:w="15" w:type="dxa"/>
              <w:left w:w="15" w:type="dxa"/>
              <w:bottom w:w="0" w:type="dxa"/>
              <w:right w:w="15" w:type="dxa"/>
            </w:tcMar>
            <w:vAlign w:val="bottom"/>
            <w:hideMark/>
          </w:tcPr>
          <w:p w14:paraId="6BC90185" w14:textId="77777777" w:rsidR="00DC5809" w:rsidRPr="00A71ACC" w:rsidRDefault="00DC5809">
            <w:pPr>
              <w:jc w:val="center"/>
              <w:rPr>
                <w:color w:val="000000"/>
                <w:sz w:val="18"/>
              </w:rPr>
            </w:pPr>
            <w:r w:rsidRPr="00A71ACC">
              <w:rPr>
                <w:color w:val="000000"/>
                <w:sz w:val="18"/>
              </w:rPr>
              <w:t>18</w:t>
            </w:r>
          </w:p>
        </w:tc>
        <w:tc>
          <w:tcPr>
            <w:tcW w:w="1700" w:type="dxa"/>
            <w:tcBorders>
              <w:top w:val="nil"/>
              <w:left w:val="nil"/>
              <w:bottom w:val="single" w:sz="4" w:space="0" w:color="auto"/>
              <w:right w:val="single" w:sz="4" w:space="0" w:color="auto"/>
            </w:tcBorders>
            <w:shd w:val="clear" w:color="000000" w:fill="D8E4BC"/>
            <w:tcMar>
              <w:top w:w="15" w:type="dxa"/>
              <w:left w:w="15" w:type="dxa"/>
              <w:bottom w:w="0" w:type="dxa"/>
              <w:right w:w="15" w:type="dxa"/>
            </w:tcMar>
            <w:vAlign w:val="bottom"/>
            <w:hideMark/>
          </w:tcPr>
          <w:p w14:paraId="194C4321" w14:textId="77777777" w:rsidR="00DC5809" w:rsidRPr="00A71ACC" w:rsidRDefault="00DC5809">
            <w:pPr>
              <w:jc w:val="center"/>
              <w:rPr>
                <w:color w:val="000000"/>
                <w:sz w:val="18"/>
              </w:rPr>
            </w:pPr>
            <w:r w:rsidRPr="00A71ACC">
              <w:rPr>
                <w:color w:val="000000"/>
                <w:sz w:val="18"/>
              </w:rPr>
              <w:t>8</w:t>
            </w:r>
          </w:p>
        </w:tc>
      </w:tr>
    </w:tbl>
    <w:p w14:paraId="29CE8EDE" w14:textId="4F44196C" w:rsidR="00A71ACC" w:rsidRDefault="00DC5809" w:rsidP="00DC5809">
      <w:pPr>
        <w:rPr>
          <w:rFonts w:ascii="Times New Roman" w:hAnsi="Times New Roman" w:cs="Times New Roman"/>
          <w:sz w:val="24"/>
          <w:szCs w:val="24"/>
        </w:rPr>
      </w:pPr>
      <w:r w:rsidRPr="00DC5809">
        <w:rPr>
          <w:rFonts w:ascii="Times New Roman" w:hAnsi="Times New Roman" w:cs="Times New Roman"/>
          <w:sz w:val="24"/>
          <w:szCs w:val="24"/>
        </w:rPr>
        <w:t xml:space="preserve"> </w:t>
      </w:r>
    </w:p>
    <w:p w14:paraId="67F28968" w14:textId="77777777" w:rsidR="00A71ACC" w:rsidRDefault="00A71ACC">
      <w:pPr>
        <w:rPr>
          <w:rFonts w:ascii="Times New Roman" w:hAnsi="Times New Roman" w:cs="Times New Roman"/>
          <w:sz w:val="24"/>
          <w:szCs w:val="24"/>
        </w:rPr>
      </w:pPr>
      <w:r>
        <w:rPr>
          <w:rFonts w:ascii="Times New Roman" w:hAnsi="Times New Roman" w:cs="Times New Roman"/>
          <w:sz w:val="24"/>
          <w:szCs w:val="24"/>
        </w:rPr>
        <w:t>Az elemzés főbb eredményei:</w:t>
      </w:r>
    </w:p>
    <w:p w14:paraId="6C8BD278" w14:textId="1D1DE45D" w:rsidR="00894105" w:rsidRPr="00894105" w:rsidRDefault="00A55577" w:rsidP="00A55577">
      <w:pPr>
        <w:pStyle w:val="Listaszerbekezds"/>
        <w:numPr>
          <w:ilvl w:val="0"/>
          <w:numId w:val="35"/>
        </w:numPr>
        <w:jc w:val="both"/>
        <w:rPr>
          <w:rFonts w:ascii="Times New Roman" w:hAnsi="Times New Roman" w:cs="Times New Roman"/>
          <w:sz w:val="24"/>
          <w:szCs w:val="24"/>
        </w:rPr>
      </w:pPr>
      <w:r>
        <w:rPr>
          <w:rFonts w:ascii="Times New Roman" w:hAnsi="Times New Roman" w:cs="Times New Roman"/>
          <w:sz w:val="24"/>
          <w:szCs w:val="24"/>
        </w:rPr>
        <w:t>A különböző szempontok szerint töb</w:t>
      </w:r>
      <w:r w:rsidR="00171A5B">
        <w:rPr>
          <w:rFonts w:ascii="Times New Roman" w:hAnsi="Times New Roman" w:cs="Times New Roman"/>
          <w:sz w:val="24"/>
          <w:szCs w:val="24"/>
        </w:rPr>
        <w:t>bségében egy irányba mozognak az eltérő intézményekben</w:t>
      </w:r>
      <w:r w:rsidR="00894105">
        <w:rPr>
          <w:rFonts w:ascii="Times New Roman" w:hAnsi="Times New Roman" w:cs="Times New Roman"/>
          <w:sz w:val="24"/>
          <w:szCs w:val="24"/>
        </w:rPr>
        <w:t xml:space="preserve"> tanuló</w:t>
      </w:r>
      <w:r>
        <w:rPr>
          <w:rFonts w:ascii="Times New Roman" w:hAnsi="Times New Roman" w:cs="Times New Roman"/>
          <w:sz w:val="24"/>
          <w:szCs w:val="24"/>
        </w:rPr>
        <w:t xml:space="preserve"> kísérleti</w:t>
      </w:r>
      <w:r w:rsidR="00894105">
        <w:rPr>
          <w:rFonts w:ascii="Times New Roman" w:hAnsi="Times New Roman" w:cs="Times New Roman"/>
          <w:sz w:val="24"/>
          <w:szCs w:val="24"/>
        </w:rPr>
        <w:t xml:space="preserve"> </w:t>
      </w:r>
      <w:r w:rsidR="00171A5B">
        <w:rPr>
          <w:rFonts w:ascii="Times New Roman" w:hAnsi="Times New Roman" w:cs="Times New Roman"/>
          <w:sz w:val="24"/>
          <w:szCs w:val="24"/>
        </w:rPr>
        <w:t>diákok, valószínűsíthető, hogy a programnak létezik</w:t>
      </w:r>
      <w:r>
        <w:rPr>
          <w:rFonts w:ascii="Times New Roman" w:hAnsi="Times New Roman" w:cs="Times New Roman"/>
          <w:sz w:val="24"/>
          <w:szCs w:val="24"/>
        </w:rPr>
        <w:t xml:space="preserve"> az intézményektől függetlenül kifejtett konzisztens hatása</w:t>
      </w:r>
    </w:p>
    <w:p w14:paraId="79ABBC69" w14:textId="77777777" w:rsidR="00A71ACC" w:rsidRDefault="00A71ACC" w:rsidP="00791FFF">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A kísérleti iskolákban jelentősen, a kontroll csoportnál is nagyobb mértékben javult a diákok énképe. A legnagyobb pozitív változás a Meszes Intézményegységben tanuló kísérleti diákok körében volt megfigyelhető</w:t>
      </w:r>
    </w:p>
    <w:p w14:paraId="5C6A5C0F" w14:textId="7C3B8B4F" w:rsidR="00A71ACC" w:rsidRDefault="00A71ACC" w:rsidP="00791FFF">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A szociális képességek terén is pozitív fejlődést mutattak a kísérleti csoportok tanulói. A legmarkánsabb változás a Somogyi Intézményegység</w:t>
      </w:r>
      <w:r w:rsidRPr="005A3C94">
        <w:rPr>
          <w:rFonts w:ascii="Times New Roman" w:hAnsi="Times New Roman" w:cs="Times New Roman"/>
          <w:sz w:val="24"/>
          <w:szCs w:val="24"/>
        </w:rPr>
        <w:t xml:space="preserve"> diákjainál </w:t>
      </w:r>
      <w:r>
        <w:rPr>
          <w:rFonts w:ascii="Times New Roman" w:hAnsi="Times New Roman" w:cs="Times New Roman"/>
          <w:sz w:val="24"/>
          <w:szCs w:val="24"/>
        </w:rPr>
        <w:t>figyelhető meg, a kimeneti mérésre 0%-ról 38%-ban nőtt azon diákok aránya, akik szinte az összes állítással azonosulni tudtak</w:t>
      </w:r>
    </w:p>
    <w:p w14:paraId="27C622F3" w14:textId="21044329" w:rsidR="00A71ACC" w:rsidRDefault="00A71ACC" w:rsidP="00791FFF">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A Bártfai Intézményegység kivételével mindenhol csökkent a diákok által adott válaszok alapján az empátia szint, ott viszont 11%-ról 33%-ra nőtt azoknak a tanulóknak a száma, akik minden állítással azonosulni tudtak</w:t>
      </w:r>
    </w:p>
    <w:p w14:paraId="523296B5" w14:textId="56459179" w:rsidR="00A71ACC" w:rsidRDefault="00A71ACC" w:rsidP="00791FFF">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Mind a kontroll, mind a kísérleti iskolákban stagnált, vagy csökkent azon diákok aránya, akik minden állításra pozitív választ adtak, azaz azonosulni tudtak azokkal, kivéve a Meszes Intézményegységben. Bár ez pozitív, de a skála másik végén is </w:t>
      </w:r>
      <w:r w:rsidR="00791FFF">
        <w:rPr>
          <w:rFonts w:ascii="Times New Roman" w:hAnsi="Times New Roman" w:cs="Times New Roman"/>
          <w:sz w:val="24"/>
          <w:szCs w:val="24"/>
        </w:rPr>
        <w:t xml:space="preserve">jelentősen </w:t>
      </w:r>
      <w:r>
        <w:rPr>
          <w:rFonts w:ascii="Times New Roman" w:hAnsi="Times New Roman" w:cs="Times New Roman"/>
          <w:sz w:val="24"/>
          <w:szCs w:val="24"/>
        </w:rPr>
        <w:t xml:space="preserve">nőtt </w:t>
      </w:r>
      <w:r w:rsidR="00791FFF">
        <w:rPr>
          <w:rFonts w:ascii="Times New Roman" w:hAnsi="Times New Roman" w:cs="Times New Roman"/>
          <w:sz w:val="24"/>
          <w:szCs w:val="24"/>
        </w:rPr>
        <w:t>náluk a diákok aránya, azaz többen lettek azok</w:t>
      </w:r>
      <w:r>
        <w:rPr>
          <w:rFonts w:ascii="Times New Roman" w:hAnsi="Times New Roman" w:cs="Times New Roman"/>
          <w:sz w:val="24"/>
          <w:szCs w:val="24"/>
        </w:rPr>
        <w:t>, akik egyik állítást sem érezték</w:t>
      </w:r>
      <w:r w:rsidR="00791FFF">
        <w:rPr>
          <w:rFonts w:ascii="Times New Roman" w:hAnsi="Times New Roman" w:cs="Times New Roman"/>
          <w:sz w:val="24"/>
          <w:szCs w:val="24"/>
        </w:rPr>
        <w:t xml:space="preserve"> magukénak</w:t>
      </w:r>
    </w:p>
    <w:p w14:paraId="11CDB480" w14:textId="44F0BAA1" w:rsidR="00791FFF" w:rsidRDefault="00791FFF" w:rsidP="00791FFF">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A mérés során minden csoportban nőtt az olvasási kiépültség szintje. A legnagyobb fejlődés talán a Somogyi intézményegységben volt tapasztalható, bár</w:t>
      </w:r>
      <w:r w:rsidRPr="005A3C94">
        <w:rPr>
          <w:rFonts w:ascii="Times New Roman" w:hAnsi="Times New Roman" w:cs="Times New Roman"/>
          <w:sz w:val="24"/>
          <w:szCs w:val="24"/>
        </w:rPr>
        <w:t xml:space="preserve"> a kimeneti méréskor sem érte el egy tanuló sem az optimális olvasási szintet, a befejező szinten olvasó di</w:t>
      </w:r>
      <w:r>
        <w:rPr>
          <w:rFonts w:ascii="Times New Roman" w:hAnsi="Times New Roman" w:cs="Times New Roman"/>
          <w:sz w:val="24"/>
          <w:szCs w:val="24"/>
        </w:rPr>
        <w:t>ákok aránya 25%-ról 88%-ra nőtt</w:t>
      </w:r>
    </w:p>
    <w:p w14:paraId="5490754C" w14:textId="436853F0" w:rsidR="00791FFF" w:rsidRDefault="00791FFF" w:rsidP="00791FFF">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A Meszes és</w:t>
      </w:r>
      <w:r w:rsidRPr="005A3C94">
        <w:rPr>
          <w:rFonts w:ascii="Times New Roman" w:hAnsi="Times New Roman" w:cs="Times New Roman"/>
          <w:sz w:val="24"/>
          <w:szCs w:val="24"/>
        </w:rPr>
        <w:t xml:space="preserve"> a Bártfa tagiskola kísérleti csoportjában javult a helyes válaszok aránya, és csökkent mind a rossz, mind a hiányzó válaszok száma. A Somogy tagiskola kísérleti csoportjában mind a három mutató szerint</w:t>
      </w:r>
      <w:r>
        <w:rPr>
          <w:rFonts w:ascii="Times New Roman" w:hAnsi="Times New Roman" w:cs="Times New Roman"/>
          <w:sz w:val="24"/>
          <w:szCs w:val="24"/>
        </w:rPr>
        <w:t xml:space="preserve"> romlott a diákok eredménye</w:t>
      </w:r>
    </w:p>
    <w:p w14:paraId="0290214D" w14:textId="4C67FE4E" w:rsidR="00A71ACC" w:rsidRPr="00A71ACC" w:rsidRDefault="00A71ACC" w:rsidP="00A71ACC">
      <w:pPr>
        <w:pStyle w:val="Listaszerbekezds"/>
        <w:numPr>
          <w:ilvl w:val="0"/>
          <w:numId w:val="34"/>
        </w:numPr>
        <w:rPr>
          <w:rFonts w:ascii="Times New Roman" w:hAnsi="Times New Roman" w:cs="Times New Roman"/>
          <w:sz w:val="24"/>
          <w:szCs w:val="24"/>
        </w:rPr>
      </w:pPr>
      <w:r w:rsidRPr="00A71ACC">
        <w:rPr>
          <w:rFonts w:ascii="Times New Roman" w:hAnsi="Times New Roman" w:cs="Times New Roman"/>
          <w:sz w:val="24"/>
          <w:szCs w:val="24"/>
        </w:rPr>
        <w:br w:type="page"/>
      </w:r>
    </w:p>
    <w:p w14:paraId="16145A88" w14:textId="73D76870" w:rsidR="003433E6" w:rsidRPr="005A3C94" w:rsidRDefault="00A438AE" w:rsidP="00A438AE">
      <w:pPr>
        <w:pStyle w:val="Cmsor3"/>
        <w:spacing w:line="276" w:lineRule="auto"/>
      </w:pPr>
      <w:r w:rsidRPr="005A3C94">
        <w:t>Énkép</w:t>
      </w:r>
      <w:bookmarkEnd w:id="21"/>
    </w:p>
    <w:p w14:paraId="248D7B0F" w14:textId="75F436BC" w:rsidR="00A54A7D" w:rsidRPr="005A3C94" w:rsidRDefault="00A54A7D" w:rsidP="00B903C7">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Ahogyan azt az alábbi ábra is szemlélteti, </w:t>
      </w:r>
      <w:r w:rsidR="00B903C7" w:rsidRPr="005A3C94">
        <w:rPr>
          <w:rFonts w:ascii="Times New Roman" w:hAnsi="Times New Roman" w:cs="Times New Roman"/>
          <w:sz w:val="24"/>
          <w:szCs w:val="24"/>
        </w:rPr>
        <w:t>bemeneti és kimeneti mérés között jelentős pozitív változás történt a diákok énképének alakulásában. Mind a három kísérleti iskolában</w:t>
      </w:r>
      <w:r w:rsidR="00D6106E" w:rsidRPr="005A3C94">
        <w:rPr>
          <w:rFonts w:ascii="Times New Roman" w:hAnsi="Times New Roman" w:cs="Times New Roman"/>
          <w:sz w:val="24"/>
          <w:szCs w:val="24"/>
        </w:rPr>
        <w:t xml:space="preserve"> nőtt azoknak a száma, akik 8-9</w:t>
      </w:r>
      <w:r w:rsidR="00B903C7" w:rsidRPr="005A3C94">
        <w:rPr>
          <w:rFonts w:ascii="Times New Roman" w:hAnsi="Times New Roman" w:cs="Times New Roman"/>
          <w:sz w:val="24"/>
          <w:szCs w:val="24"/>
        </w:rPr>
        <w:t xml:space="preserve"> pozitív állítást tettek, a legjelentősebb változás ebben a tekintetben a Meszes iskola kísérleti csoportjában figyelhető meg.</w:t>
      </w:r>
      <w:r w:rsidRPr="005A3C94">
        <w:rPr>
          <w:rFonts w:ascii="Times New Roman" w:hAnsi="Times New Roman" w:cs="Times New Roman"/>
          <w:sz w:val="24"/>
          <w:szCs w:val="24"/>
        </w:rPr>
        <w:t xml:space="preserve"> </w:t>
      </w:r>
      <w:r w:rsidR="00B903C7" w:rsidRPr="005A3C94">
        <w:rPr>
          <w:rFonts w:ascii="Times New Roman" w:hAnsi="Times New Roman" w:cs="Times New Roman"/>
          <w:sz w:val="24"/>
          <w:szCs w:val="24"/>
        </w:rPr>
        <w:t>Míg a kontroll iskolákban a bemeneti és k</w:t>
      </w:r>
      <w:r w:rsidR="00D6106E" w:rsidRPr="005A3C94">
        <w:rPr>
          <w:rFonts w:ascii="Times New Roman" w:hAnsi="Times New Roman" w:cs="Times New Roman"/>
          <w:sz w:val="24"/>
          <w:szCs w:val="24"/>
        </w:rPr>
        <w:t>imeneti mérés között 16</w:t>
      </w:r>
      <w:r w:rsidR="00B903C7" w:rsidRPr="005A3C94">
        <w:rPr>
          <w:rFonts w:ascii="Times New Roman" w:hAnsi="Times New Roman" w:cs="Times New Roman"/>
          <w:sz w:val="24"/>
          <w:szCs w:val="24"/>
        </w:rPr>
        <w:t>%</w:t>
      </w:r>
      <w:r w:rsidR="00D6106E" w:rsidRPr="005A3C94">
        <w:rPr>
          <w:rFonts w:ascii="Times New Roman" w:hAnsi="Times New Roman" w:cs="Times New Roman"/>
          <w:sz w:val="24"/>
          <w:szCs w:val="24"/>
        </w:rPr>
        <w:t>-al nőtt azon diákok száma, akik 8-9 pozitív választ adtak</w:t>
      </w:r>
      <w:r w:rsidR="00B903C7" w:rsidRPr="005A3C94">
        <w:rPr>
          <w:rFonts w:ascii="Times New Roman" w:hAnsi="Times New Roman" w:cs="Times New Roman"/>
          <w:sz w:val="24"/>
          <w:szCs w:val="24"/>
        </w:rPr>
        <w:t>, a</w:t>
      </w:r>
      <w:r w:rsidR="00D6106E" w:rsidRPr="005A3C94">
        <w:rPr>
          <w:rFonts w:ascii="Times New Roman" w:hAnsi="Times New Roman" w:cs="Times New Roman"/>
          <w:sz w:val="24"/>
          <w:szCs w:val="24"/>
        </w:rPr>
        <w:t>ddig a</w:t>
      </w:r>
      <w:r w:rsidR="00B903C7" w:rsidRPr="005A3C94">
        <w:rPr>
          <w:rFonts w:ascii="Times New Roman" w:hAnsi="Times New Roman" w:cs="Times New Roman"/>
          <w:sz w:val="24"/>
          <w:szCs w:val="24"/>
        </w:rPr>
        <w:t xml:space="preserve"> KP programban részt vett tanulók között ez az arány </w:t>
      </w:r>
      <w:r w:rsidR="00D6106E" w:rsidRPr="005A3C94">
        <w:rPr>
          <w:rFonts w:ascii="Times New Roman" w:hAnsi="Times New Roman" w:cs="Times New Roman"/>
          <w:sz w:val="24"/>
          <w:szCs w:val="24"/>
        </w:rPr>
        <w:t>41% volt.</w:t>
      </w:r>
    </w:p>
    <w:p w14:paraId="09E5E6ED" w14:textId="00FE3E4E" w:rsidR="00A438AE" w:rsidRPr="005A3C94" w:rsidRDefault="00D6106E" w:rsidP="00A438AE">
      <w:pPr>
        <w:spacing w:line="276" w:lineRule="auto"/>
        <w:jc w:val="center"/>
        <w:rPr>
          <w:rFonts w:ascii="Times New Roman" w:hAnsi="Times New Roman" w:cs="Times New Roman"/>
          <w:sz w:val="24"/>
          <w:szCs w:val="24"/>
        </w:rPr>
      </w:pPr>
      <w:r w:rsidRPr="005A3C94">
        <w:rPr>
          <w:noProof/>
          <w:lang w:eastAsia="hu-HU"/>
        </w:rPr>
        <w:drawing>
          <wp:inline distT="0" distB="0" distL="0" distR="0" wp14:anchorId="34A8DDD3" wp14:editId="4D52C54D">
            <wp:extent cx="4572000" cy="2743200"/>
            <wp:effectExtent l="0" t="0" r="0" b="0"/>
            <wp:docPr id="129" name="Diagram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6E0C2D" w14:textId="2C4C367F" w:rsidR="00273ED8" w:rsidRPr="005A3C94" w:rsidRDefault="00D83CA9" w:rsidP="00F80B87">
      <w:pPr>
        <w:pStyle w:val="Kpalrs"/>
      </w:pPr>
      <w:r w:rsidRPr="005A3C94">
        <w:rPr>
          <w:rFonts w:ascii="Times New Roman" w:hAnsi="Times New Roman" w:cs="Times New Roman"/>
          <w:sz w:val="24"/>
          <w:szCs w:val="24"/>
        </w:rPr>
        <w:fldChar w:fldCharType="begin"/>
      </w:r>
      <w:r w:rsidRPr="005A3C94">
        <w:rPr>
          <w:rFonts w:ascii="Times New Roman" w:hAnsi="Times New Roman" w:cs="Times New Roman"/>
          <w:sz w:val="24"/>
          <w:szCs w:val="24"/>
        </w:rPr>
        <w:instrText xml:space="preserve"> SEQ ábra \* ARABIC </w:instrText>
      </w:r>
      <w:r w:rsidRPr="005A3C94">
        <w:rPr>
          <w:rFonts w:ascii="Times New Roman" w:hAnsi="Times New Roman" w:cs="Times New Roman"/>
          <w:sz w:val="24"/>
          <w:szCs w:val="24"/>
        </w:rPr>
        <w:fldChar w:fldCharType="separate"/>
      </w:r>
      <w:r w:rsidR="00483414" w:rsidRPr="005A3C94">
        <w:rPr>
          <w:rFonts w:ascii="Times New Roman" w:hAnsi="Times New Roman" w:cs="Times New Roman"/>
          <w:noProof/>
          <w:sz w:val="24"/>
          <w:szCs w:val="24"/>
        </w:rPr>
        <w:t>8</w:t>
      </w:r>
      <w:r w:rsidRPr="005A3C94">
        <w:rPr>
          <w:rFonts w:ascii="Times New Roman" w:hAnsi="Times New Roman" w:cs="Times New Roman"/>
          <w:sz w:val="24"/>
          <w:szCs w:val="24"/>
        </w:rPr>
        <w:fldChar w:fldCharType="end"/>
      </w:r>
      <w:r w:rsidR="00F80B87" w:rsidRPr="005A3C94">
        <w:t>. ábra: A diákok énképe</w:t>
      </w:r>
      <w:r w:rsidRPr="005A3C94">
        <w:t xml:space="preserve"> iskolánként a bemeneti </w:t>
      </w:r>
      <w:r w:rsidR="00F80B87" w:rsidRPr="005A3C94">
        <w:t>méréskor</w:t>
      </w:r>
    </w:p>
    <w:p w14:paraId="6BF8BDE0" w14:textId="544C5628" w:rsidR="00F80B87" w:rsidRPr="005A3C94" w:rsidRDefault="00D6106E" w:rsidP="00F80B87">
      <w:pPr>
        <w:keepNext/>
        <w:jc w:val="center"/>
      </w:pPr>
      <w:r w:rsidRPr="005A3C94">
        <w:rPr>
          <w:noProof/>
          <w:lang w:eastAsia="hu-HU"/>
        </w:rPr>
        <w:drawing>
          <wp:inline distT="0" distB="0" distL="0" distR="0" wp14:anchorId="0F9220B7" wp14:editId="73FDBA55">
            <wp:extent cx="4572000" cy="2743200"/>
            <wp:effectExtent l="0" t="0" r="0" b="0"/>
            <wp:docPr id="130" name="Diagram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6211A7" w14:textId="3DAE8A88" w:rsidR="00F80B87" w:rsidRPr="005A3C94" w:rsidRDefault="00DF1D13" w:rsidP="00F80B87">
      <w:pPr>
        <w:pStyle w:val="Kpalrs"/>
      </w:pPr>
      <w:r>
        <w:fldChar w:fldCharType="begin"/>
      </w:r>
      <w:r>
        <w:instrText xml:space="preserve"> SEQ ábra \* ARABIC </w:instrText>
      </w:r>
      <w:r>
        <w:fldChar w:fldCharType="separate"/>
      </w:r>
      <w:r w:rsidR="00483414" w:rsidRPr="005A3C94">
        <w:rPr>
          <w:noProof/>
        </w:rPr>
        <w:t>9</w:t>
      </w:r>
      <w:r>
        <w:rPr>
          <w:noProof/>
        </w:rPr>
        <w:fldChar w:fldCharType="end"/>
      </w:r>
      <w:r w:rsidR="00F80B87" w:rsidRPr="005A3C94">
        <w:t>. ábra: A diákok énképe iskolánként a kimeneti méréskor</w:t>
      </w:r>
    </w:p>
    <w:p w14:paraId="25935A84" w14:textId="77777777" w:rsidR="00A71ACC" w:rsidRDefault="00A71ACC">
      <w:pPr>
        <w:rPr>
          <w:rFonts w:asciiTheme="majorHAnsi" w:eastAsiaTheme="majorEastAsia" w:hAnsiTheme="majorHAnsi" w:cstheme="majorBidi"/>
          <w:color w:val="1F4D78" w:themeColor="accent1" w:themeShade="7F"/>
          <w:sz w:val="24"/>
          <w:szCs w:val="24"/>
        </w:rPr>
      </w:pPr>
      <w:bookmarkStart w:id="22" w:name="_Toc437242832"/>
      <w:r>
        <w:br w:type="page"/>
      </w:r>
    </w:p>
    <w:p w14:paraId="0D4E70D6" w14:textId="59582514" w:rsidR="00A438AE" w:rsidRPr="005A3C94" w:rsidRDefault="00A438AE" w:rsidP="00F80B87">
      <w:pPr>
        <w:pStyle w:val="Cmsor3"/>
        <w:spacing w:line="360" w:lineRule="auto"/>
      </w:pPr>
      <w:r w:rsidRPr="005A3C94">
        <w:t>Szociális képességek</w:t>
      </w:r>
      <w:bookmarkEnd w:id="22"/>
    </w:p>
    <w:p w14:paraId="3A54BC6B" w14:textId="42CC108C" w:rsidR="00F80B87" w:rsidRPr="005A3C94" w:rsidRDefault="00D6106E" w:rsidP="00D6106E">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A szociális képességek terén is jelentős pozitív változás figyelhető meg a bemeneti és kimeneti mérés között az egész csoporton. A legmarkánsabb változás a Somogyi iskola diákjain</w:t>
      </w:r>
      <w:r w:rsidR="00745CC6" w:rsidRPr="005A3C94">
        <w:rPr>
          <w:rFonts w:ascii="Times New Roman" w:hAnsi="Times New Roman" w:cs="Times New Roman"/>
          <w:sz w:val="24"/>
          <w:szCs w:val="24"/>
        </w:rPr>
        <w:t>ál tapasztalható</w:t>
      </w:r>
      <w:r w:rsidR="00A06860" w:rsidRPr="005A3C94">
        <w:rPr>
          <w:rFonts w:ascii="Times New Roman" w:hAnsi="Times New Roman" w:cs="Times New Roman"/>
          <w:sz w:val="24"/>
          <w:szCs w:val="24"/>
        </w:rPr>
        <w:t>, akik közül a bemeneti méréskor</w:t>
      </w:r>
      <w:r w:rsidR="00745CC6" w:rsidRPr="005A3C94">
        <w:rPr>
          <w:rFonts w:ascii="Times New Roman" w:hAnsi="Times New Roman" w:cs="Times New Roman"/>
          <w:sz w:val="24"/>
          <w:szCs w:val="24"/>
        </w:rPr>
        <w:t xml:space="preserve"> egy</w:t>
      </w:r>
      <w:r w:rsidRPr="005A3C94">
        <w:rPr>
          <w:rFonts w:ascii="Times New Roman" w:hAnsi="Times New Roman" w:cs="Times New Roman"/>
          <w:sz w:val="24"/>
          <w:szCs w:val="24"/>
        </w:rPr>
        <w:t xml:space="preserve"> sem adott 8-9 </w:t>
      </w:r>
      <w:r w:rsidR="00745CC6" w:rsidRPr="005A3C94">
        <w:rPr>
          <w:rFonts w:ascii="Times New Roman" w:hAnsi="Times New Roman" w:cs="Times New Roman"/>
          <w:sz w:val="24"/>
          <w:szCs w:val="24"/>
        </w:rPr>
        <w:t xml:space="preserve">pozitív </w:t>
      </w:r>
      <w:r w:rsidRPr="005A3C94">
        <w:rPr>
          <w:rFonts w:ascii="Times New Roman" w:hAnsi="Times New Roman" w:cs="Times New Roman"/>
          <w:sz w:val="24"/>
          <w:szCs w:val="24"/>
        </w:rPr>
        <w:t xml:space="preserve">választ, </w:t>
      </w:r>
      <w:r w:rsidR="00745CC6" w:rsidRPr="005A3C94">
        <w:rPr>
          <w:rFonts w:ascii="Times New Roman" w:hAnsi="Times New Roman" w:cs="Times New Roman"/>
          <w:sz w:val="24"/>
          <w:szCs w:val="24"/>
        </w:rPr>
        <w:t>míg a kimeneti mérés idejére ez az arány 38%-ra nőtt</w:t>
      </w:r>
      <w:r w:rsidR="00A06860" w:rsidRPr="005A3C94">
        <w:rPr>
          <w:rFonts w:ascii="Times New Roman" w:hAnsi="Times New Roman" w:cs="Times New Roman"/>
          <w:sz w:val="24"/>
          <w:szCs w:val="24"/>
        </w:rPr>
        <w:t xml:space="preserve"> (nulla helyett 3 diák)</w:t>
      </w:r>
      <w:r w:rsidR="00745CC6" w:rsidRPr="005A3C94">
        <w:rPr>
          <w:rFonts w:ascii="Times New Roman" w:hAnsi="Times New Roman" w:cs="Times New Roman"/>
          <w:sz w:val="24"/>
          <w:szCs w:val="24"/>
        </w:rPr>
        <w:t>. A kontroll iskolákban a legpozitívabb válaszokat adó diákok száma 67%-al nőtt, ez az arány a kísérleti programban részt vevő tanulók körében 160% volt.</w:t>
      </w:r>
      <w:r w:rsidR="00F80B87" w:rsidRPr="005A3C94">
        <w:rPr>
          <w:rFonts w:ascii="Times New Roman" w:hAnsi="Times New Roman" w:cs="Times New Roman"/>
          <w:sz w:val="24"/>
          <w:szCs w:val="24"/>
        </w:rPr>
        <w:t xml:space="preserve"> </w:t>
      </w:r>
    </w:p>
    <w:p w14:paraId="419EE8C9" w14:textId="04CDC257" w:rsidR="00A04F67" w:rsidRPr="005A3C94" w:rsidRDefault="006E2352" w:rsidP="00A04F67">
      <w:pPr>
        <w:spacing w:line="276" w:lineRule="auto"/>
        <w:jc w:val="center"/>
      </w:pPr>
      <w:r w:rsidRPr="005A3C94">
        <w:rPr>
          <w:noProof/>
          <w:lang w:eastAsia="hu-HU"/>
        </w:rPr>
        <w:drawing>
          <wp:inline distT="0" distB="0" distL="0" distR="0" wp14:anchorId="64A53F52" wp14:editId="327B2413">
            <wp:extent cx="4572000" cy="2743200"/>
            <wp:effectExtent l="0" t="0" r="0" b="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AFB81AD" w14:textId="4C03F947" w:rsidR="00273ED8" w:rsidRPr="005A3C94" w:rsidRDefault="00A04F67" w:rsidP="00A04F67">
      <w:pPr>
        <w:pStyle w:val="Kpalrs"/>
        <w:jc w:val="both"/>
        <w:rPr>
          <w:rFonts w:ascii="Times New Roman" w:hAnsi="Times New Roman" w:cs="Times New Roman"/>
          <w:sz w:val="24"/>
          <w:szCs w:val="24"/>
        </w:rPr>
      </w:pPr>
      <w:r w:rsidRPr="005A3C94">
        <w:rPr>
          <w:rFonts w:ascii="Times New Roman" w:hAnsi="Times New Roman" w:cs="Times New Roman"/>
          <w:sz w:val="24"/>
          <w:szCs w:val="24"/>
        </w:rPr>
        <w:fldChar w:fldCharType="begin"/>
      </w:r>
      <w:r w:rsidRPr="005A3C94">
        <w:rPr>
          <w:rFonts w:ascii="Times New Roman" w:hAnsi="Times New Roman" w:cs="Times New Roman"/>
          <w:sz w:val="24"/>
          <w:szCs w:val="24"/>
        </w:rPr>
        <w:instrText xml:space="preserve"> SEQ ábra \* ARABIC </w:instrText>
      </w:r>
      <w:r w:rsidRPr="005A3C94">
        <w:rPr>
          <w:rFonts w:ascii="Times New Roman" w:hAnsi="Times New Roman" w:cs="Times New Roman"/>
          <w:sz w:val="24"/>
          <w:szCs w:val="24"/>
        </w:rPr>
        <w:fldChar w:fldCharType="separate"/>
      </w:r>
      <w:r w:rsidR="00483414" w:rsidRPr="005A3C94">
        <w:rPr>
          <w:rFonts w:ascii="Times New Roman" w:hAnsi="Times New Roman" w:cs="Times New Roman"/>
          <w:noProof/>
          <w:sz w:val="24"/>
          <w:szCs w:val="24"/>
        </w:rPr>
        <w:t>10</w:t>
      </w:r>
      <w:r w:rsidRPr="005A3C94">
        <w:rPr>
          <w:rFonts w:ascii="Times New Roman" w:hAnsi="Times New Roman" w:cs="Times New Roman"/>
          <w:sz w:val="24"/>
          <w:szCs w:val="24"/>
        </w:rPr>
        <w:fldChar w:fldCharType="end"/>
      </w:r>
      <w:r w:rsidRPr="005A3C94">
        <w:t>. ábra: A diákok szociális képességei iskolánként a bemeneti méréskor</w:t>
      </w:r>
    </w:p>
    <w:p w14:paraId="72C9EC79" w14:textId="4609B690" w:rsidR="00A04F67" w:rsidRPr="005A3C94" w:rsidRDefault="00A438AE" w:rsidP="00A04F67">
      <w:pPr>
        <w:keepNext/>
        <w:spacing w:line="276" w:lineRule="auto"/>
        <w:jc w:val="center"/>
      </w:pPr>
      <w:r w:rsidRPr="005A3C94">
        <w:rPr>
          <w:noProof/>
          <w:lang w:eastAsia="hu-HU"/>
        </w:rPr>
        <w:drawing>
          <wp:inline distT="0" distB="0" distL="0" distR="0" wp14:anchorId="7DAD8614" wp14:editId="04FDB052">
            <wp:extent cx="4572000" cy="2743200"/>
            <wp:effectExtent l="0" t="0" r="0" b="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77F35C7" w14:textId="6E855A21" w:rsidR="00D97C31" w:rsidRPr="005A3C94" w:rsidRDefault="00A04F67" w:rsidP="00A04F67">
      <w:pPr>
        <w:pStyle w:val="Kpalrs"/>
        <w:jc w:val="both"/>
        <w:rPr>
          <w:rFonts w:ascii="Times New Roman" w:hAnsi="Times New Roman" w:cs="Times New Roman"/>
          <w:sz w:val="24"/>
          <w:szCs w:val="24"/>
        </w:rPr>
      </w:pPr>
      <w:r w:rsidRPr="005A3C94">
        <w:rPr>
          <w:rFonts w:ascii="Times New Roman" w:hAnsi="Times New Roman" w:cs="Times New Roman"/>
          <w:sz w:val="24"/>
          <w:szCs w:val="24"/>
        </w:rPr>
        <w:fldChar w:fldCharType="begin"/>
      </w:r>
      <w:r w:rsidRPr="005A3C94">
        <w:rPr>
          <w:rFonts w:ascii="Times New Roman" w:hAnsi="Times New Roman" w:cs="Times New Roman"/>
          <w:sz w:val="24"/>
          <w:szCs w:val="24"/>
        </w:rPr>
        <w:instrText xml:space="preserve"> SEQ ábra \* ARABIC </w:instrText>
      </w:r>
      <w:r w:rsidRPr="005A3C94">
        <w:rPr>
          <w:rFonts w:ascii="Times New Roman" w:hAnsi="Times New Roman" w:cs="Times New Roman"/>
          <w:sz w:val="24"/>
          <w:szCs w:val="24"/>
        </w:rPr>
        <w:fldChar w:fldCharType="separate"/>
      </w:r>
      <w:r w:rsidR="00483414" w:rsidRPr="005A3C94">
        <w:rPr>
          <w:rFonts w:ascii="Times New Roman" w:hAnsi="Times New Roman" w:cs="Times New Roman"/>
          <w:noProof/>
          <w:sz w:val="24"/>
          <w:szCs w:val="24"/>
        </w:rPr>
        <w:t>11</w:t>
      </w:r>
      <w:r w:rsidRPr="005A3C94">
        <w:rPr>
          <w:rFonts w:ascii="Times New Roman" w:hAnsi="Times New Roman" w:cs="Times New Roman"/>
          <w:sz w:val="24"/>
          <w:szCs w:val="24"/>
        </w:rPr>
        <w:fldChar w:fldCharType="end"/>
      </w:r>
      <w:r w:rsidRPr="005A3C94">
        <w:t>. ábra: A diákok szociális képességei iskolánként a kimeneti méréskor</w:t>
      </w:r>
    </w:p>
    <w:p w14:paraId="5051C662" w14:textId="77777777" w:rsidR="002115A7" w:rsidRPr="005A3C94" w:rsidRDefault="002115A7">
      <w:pPr>
        <w:rPr>
          <w:rFonts w:asciiTheme="majorHAnsi" w:eastAsiaTheme="majorEastAsia" w:hAnsiTheme="majorHAnsi" w:cstheme="majorBidi"/>
          <w:color w:val="1F4D78" w:themeColor="accent1" w:themeShade="7F"/>
          <w:sz w:val="24"/>
          <w:szCs w:val="24"/>
        </w:rPr>
      </w:pPr>
      <w:r w:rsidRPr="005A3C94">
        <w:br w:type="page"/>
      </w:r>
    </w:p>
    <w:p w14:paraId="1D045398" w14:textId="2D4522B8" w:rsidR="00F80B87" w:rsidRPr="005A3C94" w:rsidRDefault="00F80B87" w:rsidP="00F80B87">
      <w:pPr>
        <w:pStyle w:val="Cmsor3"/>
      </w:pPr>
      <w:bookmarkStart w:id="23" w:name="_Toc437242833"/>
      <w:r w:rsidRPr="005A3C94">
        <w:t>Empátia</w:t>
      </w:r>
      <w:bookmarkEnd w:id="23"/>
    </w:p>
    <w:p w14:paraId="254B3360" w14:textId="7C317D29" w:rsidR="00F80B87" w:rsidRPr="005A3C94" w:rsidRDefault="00F80B87" w:rsidP="00F80B87">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Az</w:t>
      </w:r>
      <w:r w:rsidR="00745CC6" w:rsidRPr="005A3C94">
        <w:rPr>
          <w:rFonts w:ascii="Times New Roman" w:hAnsi="Times New Roman" w:cs="Times New Roman"/>
          <w:sz w:val="24"/>
          <w:szCs w:val="24"/>
        </w:rPr>
        <w:t xml:space="preserve"> empátiás készség vizsgálatakor az előző két szemponttól eltérő trendet látunk. Ebben az esetben a Bártfa iskola kivételével minden intézményben csökkent azon gyerekek aránya, akik maximális pozitív választ adtak. A Somogy iskola esetében a legnagyobb léptékű a változás</w:t>
      </w:r>
      <w:r w:rsidR="008B648F" w:rsidRPr="005A3C94">
        <w:rPr>
          <w:rFonts w:ascii="Times New Roman" w:hAnsi="Times New Roman" w:cs="Times New Roman"/>
          <w:sz w:val="24"/>
          <w:szCs w:val="24"/>
        </w:rPr>
        <w:t>, a kimeneti mérés időpontjára egy diák sem maradt, aki négy pozitív állítást tett volna. Az elemzés alapján a kontroll iskolákban erősebben jelen volt a negatív trend, 40%-al csökkent körükben azoknak a diákoknak a száma, akik négy pozitív választ adtak, míg a kísérleti iskolákban – a Bártfa iskolának köszönhetően – összességében 11%-al nőtt.</w:t>
      </w:r>
    </w:p>
    <w:p w14:paraId="766D3D2F" w14:textId="77777777" w:rsidR="00A438AE" w:rsidRPr="005A3C94" w:rsidRDefault="00A438AE" w:rsidP="00A438AE">
      <w:pPr>
        <w:keepNext/>
        <w:spacing w:line="276" w:lineRule="auto"/>
        <w:jc w:val="center"/>
      </w:pPr>
      <w:r w:rsidRPr="005A3C94">
        <w:rPr>
          <w:noProof/>
          <w:lang w:eastAsia="hu-HU"/>
        </w:rPr>
        <w:drawing>
          <wp:inline distT="0" distB="0" distL="0" distR="0" wp14:anchorId="1EB2BB6E" wp14:editId="49CD2FE5">
            <wp:extent cx="4572000" cy="2743200"/>
            <wp:effectExtent l="0" t="0" r="0" b="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93453B" w14:textId="2C147976" w:rsidR="00261DC6" w:rsidRPr="005A3C94" w:rsidRDefault="00A438AE" w:rsidP="00A438AE">
      <w:pPr>
        <w:pStyle w:val="Kpalrs"/>
        <w:rPr>
          <w:rFonts w:ascii="Times New Roman" w:hAnsi="Times New Roman" w:cs="Times New Roman"/>
          <w:sz w:val="24"/>
          <w:szCs w:val="24"/>
        </w:rPr>
      </w:pPr>
      <w:r w:rsidRPr="005A3C94">
        <w:rPr>
          <w:rFonts w:ascii="Times New Roman" w:hAnsi="Times New Roman" w:cs="Times New Roman"/>
          <w:sz w:val="24"/>
          <w:szCs w:val="24"/>
        </w:rPr>
        <w:fldChar w:fldCharType="begin"/>
      </w:r>
      <w:r w:rsidRPr="005A3C94">
        <w:rPr>
          <w:rFonts w:ascii="Times New Roman" w:hAnsi="Times New Roman" w:cs="Times New Roman"/>
          <w:sz w:val="24"/>
          <w:szCs w:val="24"/>
        </w:rPr>
        <w:instrText xml:space="preserve"> SEQ ábra \* ARABIC </w:instrText>
      </w:r>
      <w:r w:rsidRPr="005A3C94">
        <w:rPr>
          <w:rFonts w:ascii="Times New Roman" w:hAnsi="Times New Roman" w:cs="Times New Roman"/>
          <w:sz w:val="24"/>
          <w:szCs w:val="24"/>
        </w:rPr>
        <w:fldChar w:fldCharType="separate"/>
      </w:r>
      <w:r w:rsidR="00483414" w:rsidRPr="005A3C94">
        <w:rPr>
          <w:rFonts w:ascii="Times New Roman" w:hAnsi="Times New Roman" w:cs="Times New Roman"/>
          <w:noProof/>
          <w:sz w:val="24"/>
          <w:szCs w:val="24"/>
        </w:rPr>
        <w:t>12</w:t>
      </w:r>
      <w:r w:rsidRPr="005A3C94">
        <w:rPr>
          <w:rFonts w:ascii="Times New Roman" w:hAnsi="Times New Roman" w:cs="Times New Roman"/>
          <w:sz w:val="24"/>
          <w:szCs w:val="24"/>
        </w:rPr>
        <w:fldChar w:fldCharType="end"/>
      </w:r>
      <w:r w:rsidRPr="005A3C94">
        <w:t>. ábra: A tanulók empátiás képességei iskolánként a bemeneti méréskor</w:t>
      </w:r>
    </w:p>
    <w:p w14:paraId="5316D4CE" w14:textId="77777777" w:rsidR="00A438AE" w:rsidRPr="005A3C94" w:rsidRDefault="00A438AE" w:rsidP="00A438AE">
      <w:pPr>
        <w:keepNext/>
        <w:spacing w:line="276" w:lineRule="auto"/>
        <w:jc w:val="center"/>
      </w:pPr>
      <w:r w:rsidRPr="005A3C94">
        <w:rPr>
          <w:noProof/>
          <w:lang w:eastAsia="hu-HU"/>
        </w:rPr>
        <w:drawing>
          <wp:inline distT="0" distB="0" distL="0" distR="0" wp14:anchorId="69967962" wp14:editId="4CBB9F42">
            <wp:extent cx="4572000" cy="2743200"/>
            <wp:effectExtent l="0" t="0" r="0" b="0"/>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E5374AE" w14:textId="47A505E7" w:rsidR="00261DC6" w:rsidRPr="005A3C94" w:rsidRDefault="00A438AE" w:rsidP="002115A7">
      <w:pPr>
        <w:pStyle w:val="Kpalrs"/>
        <w:rPr>
          <w:rFonts w:ascii="Times New Roman" w:hAnsi="Times New Roman" w:cs="Times New Roman"/>
          <w:sz w:val="24"/>
          <w:szCs w:val="24"/>
        </w:rPr>
      </w:pPr>
      <w:r w:rsidRPr="005A3C94">
        <w:rPr>
          <w:rFonts w:ascii="Times New Roman" w:hAnsi="Times New Roman" w:cs="Times New Roman"/>
          <w:sz w:val="24"/>
          <w:szCs w:val="24"/>
        </w:rPr>
        <w:fldChar w:fldCharType="begin"/>
      </w:r>
      <w:r w:rsidRPr="005A3C94">
        <w:rPr>
          <w:rFonts w:ascii="Times New Roman" w:hAnsi="Times New Roman" w:cs="Times New Roman"/>
          <w:sz w:val="24"/>
          <w:szCs w:val="24"/>
        </w:rPr>
        <w:instrText xml:space="preserve"> SEQ ábra \* ARABIC </w:instrText>
      </w:r>
      <w:r w:rsidRPr="005A3C94">
        <w:rPr>
          <w:rFonts w:ascii="Times New Roman" w:hAnsi="Times New Roman" w:cs="Times New Roman"/>
          <w:sz w:val="24"/>
          <w:szCs w:val="24"/>
        </w:rPr>
        <w:fldChar w:fldCharType="separate"/>
      </w:r>
      <w:r w:rsidR="00483414" w:rsidRPr="005A3C94">
        <w:rPr>
          <w:rFonts w:ascii="Times New Roman" w:hAnsi="Times New Roman" w:cs="Times New Roman"/>
          <w:noProof/>
          <w:sz w:val="24"/>
          <w:szCs w:val="24"/>
        </w:rPr>
        <w:t>13</w:t>
      </w:r>
      <w:r w:rsidRPr="005A3C94">
        <w:rPr>
          <w:rFonts w:ascii="Times New Roman" w:hAnsi="Times New Roman" w:cs="Times New Roman"/>
          <w:sz w:val="24"/>
          <w:szCs w:val="24"/>
        </w:rPr>
        <w:fldChar w:fldCharType="end"/>
      </w:r>
      <w:r w:rsidRPr="005A3C94">
        <w:t>. ábra: A gyerekek empátiás képességei iskolánként a kimeneti méréskor</w:t>
      </w:r>
    </w:p>
    <w:p w14:paraId="340A9448" w14:textId="77777777" w:rsidR="002115A7" w:rsidRPr="005A3C94" w:rsidRDefault="002115A7">
      <w:pPr>
        <w:rPr>
          <w:rFonts w:asciiTheme="majorHAnsi" w:eastAsiaTheme="majorEastAsia" w:hAnsiTheme="majorHAnsi" w:cstheme="majorBidi"/>
          <w:color w:val="1F4D78" w:themeColor="accent1" w:themeShade="7F"/>
          <w:sz w:val="24"/>
          <w:szCs w:val="24"/>
        </w:rPr>
      </w:pPr>
      <w:r w:rsidRPr="005A3C94">
        <w:br w:type="page"/>
      </w:r>
    </w:p>
    <w:p w14:paraId="3CE92D6D" w14:textId="343017B7" w:rsidR="00F80B87" w:rsidRPr="005A3C94" w:rsidRDefault="00F80B87" w:rsidP="00F80B87">
      <w:pPr>
        <w:pStyle w:val="Cmsor3"/>
        <w:spacing w:line="360" w:lineRule="auto"/>
      </w:pPr>
      <w:bookmarkStart w:id="24" w:name="_Toc437242834"/>
      <w:r w:rsidRPr="005A3C94">
        <w:t>Tanulási motiváció</w:t>
      </w:r>
      <w:bookmarkEnd w:id="24"/>
    </w:p>
    <w:p w14:paraId="62A85B40" w14:textId="5EEC1913" w:rsidR="008B648F" w:rsidRPr="005A3C94" w:rsidRDefault="00DC13B4" w:rsidP="00DC13B4">
      <w:pPr>
        <w:jc w:val="both"/>
        <w:rPr>
          <w:rFonts w:ascii="Times New Roman" w:hAnsi="Times New Roman" w:cs="Times New Roman"/>
          <w:sz w:val="24"/>
          <w:szCs w:val="24"/>
        </w:rPr>
      </w:pPr>
      <w:r w:rsidRPr="005A3C94">
        <w:rPr>
          <w:rFonts w:ascii="Times New Roman" w:hAnsi="Times New Roman" w:cs="Times New Roman"/>
          <w:sz w:val="24"/>
          <w:szCs w:val="24"/>
        </w:rPr>
        <w:t>A tanulási motiváció vizsgálatakor az empátiás képességhez hasonló képet kapunk. A Meszes iskola kísérleti csoportja kivételével minden csoportban csökkent azoknak a diákoknak az aránya, akik maximális pozitív választ adtak. Azonban a Meszes kísérleti csoportban sem pozitív a kép, ugyanis jelentősen megnőtt azoknak a száma is, akik kevés (0-4) pozitív választ adtak, azaz a diákok a középső, mérsékelt tartományból pártolták át a pozitív, illetve a negatív oldal irányába.</w:t>
      </w:r>
    </w:p>
    <w:p w14:paraId="7C04E3E9" w14:textId="77777777" w:rsidR="008B648F" w:rsidRPr="005A3C94" w:rsidRDefault="008B648F" w:rsidP="008B648F"/>
    <w:p w14:paraId="51C60AB5" w14:textId="17D617A8" w:rsidR="008B648F" w:rsidRPr="005A3C94" w:rsidRDefault="008B648F" w:rsidP="008B648F">
      <w:pPr>
        <w:spacing w:line="360" w:lineRule="auto"/>
        <w:jc w:val="center"/>
        <w:rPr>
          <w:rFonts w:ascii="Times New Roman" w:hAnsi="Times New Roman" w:cs="Times New Roman"/>
          <w:sz w:val="24"/>
          <w:szCs w:val="24"/>
        </w:rPr>
      </w:pPr>
      <w:r w:rsidRPr="005A3C94">
        <w:rPr>
          <w:noProof/>
          <w:lang w:eastAsia="hu-HU"/>
        </w:rPr>
        <w:drawing>
          <wp:inline distT="0" distB="0" distL="0" distR="0" wp14:anchorId="0B564207" wp14:editId="072FD0A7">
            <wp:extent cx="4572000" cy="2905125"/>
            <wp:effectExtent l="0" t="0" r="0" b="9525"/>
            <wp:docPr id="131" name="Diagram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B8A9659" w14:textId="312A15C6" w:rsidR="00DA3E5D" w:rsidRPr="005A3C94" w:rsidRDefault="00F80B87" w:rsidP="00F80B87">
      <w:pPr>
        <w:pStyle w:val="Kpalrs"/>
        <w:jc w:val="both"/>
        <w:rPr>
          <w:rFonts w:ascii="Times New Roman" w:hAnsi="Times New Roman" w:cs="Times New Roman"/>
          <w:sz w:val="24"/>
          <w:szCs w:val="24"/>
        </w:rPr>
      </w:pPr>
      <w:r w:rsidRPr="005A3C94">
        <w:rPr>
          <w:rFonts w:ascii="Times New Roman" w:hAnsi="Times New Roman" w:cs="Times New Roman"/>
          <w:sz w:val="24"/>
          <w:szCs w:val="24"/>
        </w:rPr>
        <w:fldChar w:fldCharType="begin"/>
      </w:r>
      <w:r w:rsidRPr="005A3C94">
        <w:rPr>
          <w:rFonts w:ascii="Times New Roman" w:hAnsi="Times New Roman" w:cs="Times New Roman"/>
          <w:sz w:val="24"/>
          <w:szCs w:val="24"/>
        </w:rPr>
        <w:instrText xml:space="preserve"> SEQ ábra \* ARABIC </w:instrText>
      </w:r>
      <w:r w:rsidRPr="005A3C94">
        <w:rPr>
          <w:rFonts w:ascii="Times New Roman" w:hAnsi="Times New Roman" w:cs="Times New Roman"/>
          <w:sz w:val="24"/>
          <w:szCs w:val="24"/>
        </w:rPr>
        <w:fldChar w:fldCharType="separate"/>
      </w:r>
      <w:r w:rsidR="00483414" w:rsidRPr="005A3C94">
        <w:rPr>
          <w:rFonts w:ascii="Times New Roman" w:hAnsi="Times New Roman" w:cs="Times New Roman"/>
          <w:noProof/>
          <w:sz w:val="24"/>
          <w:szCs w:val="24"/>
        </w:rPr>
        <w:t>14</w:t>
      </w:r>
      <w:r w:rsidRPr="005A3C94">
        <w:rPr>
          <w:rFonts w:ascii="Times New Roman" w:hAnsi="Times New Roman" w:cs="Times New Roman"/>
          <w:sz w:val="24"/>
          <w:szCs w:val="24"/>
        </w:rPr>
        <w:fldChar w:fldCharType="end"/>
      </w:r>
      <w:r w:rsidRPr="005A3C94">
        <w:t>. ábra: A diákok tanulási motivációja iskolánként a bemeneti méréskor</w:t>
      </w:r>
    </w:p>
    <w:p w14:paraId="35B8CEFF" w14:textId="031BB549" w:rsidR="002115A7" w:rsidRPr="005A3C94" w:rsidRDefault="008B648F" w:rsidP="002115A7">
      <w:pPr>
        <w:keepNext/>
        <w:spacing w:line="276" w:lineRule="auto"/>
        <w:jc w:val="center"/>
      </w:pPr>
      <w:r w:rsidRPr="005A3C94">
        <w:rPr>
          <w:noProof/>
          <w:lang w:eastAsia="hu-HU"/>
        </w:rPr>
        <w:drawing>
          <wp:inline distT="0" distB="0" distL="0" distR="0" wp14:anchorId="59066FA2" wp14:editId="66F589F2">
            <wp:extent cx="4572000" cy="2743200"/>
            <wp:effectExtent l="0" t="0" r="0" b="0"/>
            <wp:docPr id="133" name="Diagram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051E41A" w14:textId="5437CEC9" w:rsidR="00DA3E5D" w:rsidRPr="005A3C94" w:rsidRDefault="002115A7" w:rsidP="002115A7">
      <w:pPr>
        <w:pStyle w:val="Kpalrs"/>
        <w:rPr>
          <w:rFonts w:ascii="Times New Roman" w:hAnsi="Times New Roman" w:cs="Times New Roman"/>
          <w:sz w:val="24"/>
          <w:szCs w:val="24"/>
        </w:rPr>
      </w:pPr>
      <w:r w:rsidRPr="005A3C94">
        <w:rPr>
          <w:rFonts w:ascii="Times New Roman" w:hAnsi="Times New Roman" w:cs="Times New Roman"/>
          <w:sz w:val="24"/>
          <w:szCs w:val="24"/>
        </w:rPr>
        <w:fldChar w:fldCharType="begin"/>
      </w:r>
      <w:r w:rsidRPr="005A3C94">
        <w:rPr>
          <w:rFonts w:ascii="Times New Roman" w:hAnsi="Times New Roman" w:cs="Times New Roman"/>
          <w:sz w:val="24"/>
          <w:szCs w:val="24"/>
        </w:rPr>
        <w:instrText xml:space="preserve"> SEQ ábra \* ARABIC </w:instrText>
      </w:r>
      <w:r w:rsidRPr="005A3C94">
        <w:rPr>
          <w:rFonts w:ascii="Times New Roman" w:hAnsi="Times New Roman" w:cs="Times New Roman"/>
          <w:sz w:val="24"/>
          <w:szCs w:val="24"/>
        </w:rPr>
        <w:fldChar w:fldCharType="separate"/>
      </w:r>
      <w:r w:rsidR="00483414" w:rsidRPr="005A3C94">
        <w:rPr>
          <w:rFonts w:ascii="Times New Roman" w:hAnsi="Times New Roman" w:cs="Times New Roman"/>
          <w:noProof/>
          <w:sz w:val="24"/>
          <w:szCs w:val="24"/>
        </w:rPr>
        <w:t>15</w:t>
      </w:r>
      <w:r w:rsidRPr="005A3C94">
        <w:rPr>
          <w:rFonts w:ascii="Times New Roman" w:hAnsi="Times New Roman" w:cs="Times New Roman"/>
          <w:sz w:val="24"/>
          <w:szCs w:val="24"/>
        </w:rPr>
        <w:fldChar w:fldCharType="end"/>
      </w:r>
      <w:r w:rsidRPr="005A3C94">
        <w:t>. ábra: A diákok tanulási motivációja</w:t>
      </w:r>
      <w:r w:rsidR="008B648F" w:rsidRPr="005A3C94">
        <w:t xml:space="preserve"> iskolánként</w:t>
      </w:r>
      <w:r w:rsidRPr="005A3C94">
        <w:t xml:space="preserve"> a kimeneti méréskor</w:t>
      </w:r>
    </w:p>
    <w:p w14:paraId="67ED7D73" w14:textId="77777777" w:rsidR="00F80B87" w:rsidRPr="005A3C94" w:rsidRDefault="00F80B87" w:rsidP="008C67DC">
      <w:pPr>
        <w:spacing w:line="276" w:lineRule="auto"/>
        <w:rPr>
          <w:rFonts w:ascii="Times New Roman" w:hAnsi="Times New Roman" w:cs="Times New Roman"/>
          <w:sz w:val="24"/>
          <w:szCs w:val="24"/>
        </w:rPr>
      </w:pPr>
    </w:p>
    <w:p w14:paraId="3921EEEC" w14:textId="77777777" w:rsidR="002115A7" w:rsidRPr="005A3C94" w:rsidRDefault="002115A7">
      <w:pPr>
        <w:rPr>
          <w:rFonts w:asciiTheme="majorHAnsi" w:eastAsiaTheme="majorEastAsia" w:hAnsiTheme="majorHAnsi" w:cstheme="majorBidi"/>
          <w:color w:val="1F4D78" w:themeColor="accent1" w:themeShade="7F"/>
          <w:sz w:val="24"/>
          <w:szCs w:val="24"/>
        </w:rPr>
      </w:pPr>
      <w:r w:rsidRPr="005A3C94">
        <w:br w:type="page"/>
      </w:r>
    </w:p>
    <w:p w14:paraId="4EDBEB5A" w14:textId="0D98C749" w:rsidR="00F80B87" w:rsidRPr="005A3C94" w:rsidRDefault="00F80B87" w:rsidP="00F80B87">
      <w:pPr>
        <w:pStyle w:val="Cmsor3"/>
        <w:spacing w:line="360" w:lineRule="auto"/>
      </w:pPr>
      <w:bookmarkStart w:id="25" w:name="_Toc437242835"/>
      <w:r w:rsidRPr="005A3C94">
        <w:t>Olvasási kiépültség</w:t>
      </w:r>
      <w:bookmarkEnd w:id="25"/>
    </w:p>
    <w:p w14:paraId="7B55DB45" w14:textId="218F1CCF" w:rsidR="00F80B87" w:rsidRPr="005A3C94" w:rsidRDefault="00F80B87" w:rsidP="00F80B87">
      <w:pPr>
        <w:spacing w:line="360"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Az olvasás kiépültsége </w:t>
      </w:r>
      <w:r w:rsidR="00915277" w:rsidRPr="005A3C94">
        <w:rPr>
          <w:rFonts w:ascii="Times New Roman" w:hAnsi="Times New Roman" w:cs="Times New Roman"/>
          <w:sz w:val="24"/>
          <w:szCs w:val="24"/>
        </w:rPr>
        <w:t xml:space="preserve">minden intézményben </w:t>
      </w:r>
      <w:r w:rsidRPr="005A3C94">
        <w:rPr>
          <w:rFonts w:ascii="Times New Roman" w:hAnsi="Times New Roman" w:cs="Times New Roman"/>
          <w:sz w:val="24"/>
          <w:szCs w:val="24"/>
        </w:rPr>
        <w:t>javult a program ideje alatt</w:t>
      </w:r>
      <w:r w:rsidR="00915277" w:rsidRPr="005A3C94">
        <w:rPr>
          <w:rFonts w:ascii="Times New Roman" w:hAnsi="Times New Roman" w:cs="Times New Roman"/>
          <w:sz w:val="24"/>
          <w:szCs w:val="24"/>
        </w:rPr>
        <w:t>,</w:t>
      </w:r>
      <w:r w:rsidRPr="005A3C94">
        <w:rPr>
          <w:rFonts w:ascii="Times New Roman" w:hAnsi="Times New Roman" w:cs="Times New Roman"/>
          <w:sz w:val="24"/>
          <w:szCs w:val="24"/>
        </w:rPr>
        <w:t xml:space="preserve"> több lett az optimális és befejező szinten olvasók aránya. </w:t>
      </w:r>
      <w:r w:rsidR="00915277" w:rsidRPr="005A3C94">
        <w:rPr>
          <w:rFonts w:ascii="Times New Roman" w:hAnsi="Times New Roman" w:cs="Times New Roman"/>
          <w:sz w:val="24"/>
          <w:szCs w:val="24"/>
        </w:rPr>
        <w:t xml:space="preserve">Bár a Somogyi iskolában a kimeneti méréskor sem érte el egy tanuló sem az optimális olvasási szintet, a befejező szinten olvasó diákok aránya 25%-ról 88%-ra nőtt. </w:t>
      </w:r>
      <w:r w:rsidR="00A06860" w:rsidRPr="005A3C94">
        <w:rPr>
          <w:rFonts w:ascii="Times New Roman" w:hAnsi="Times New Roman" w:cs="Times New Roman"/>
          <w:sz w:val="24"/>
          <w:szCs w:val="24"/>
        </w:rPr>
        <w:t>A kontroll csoportok diákjai körében a kimeneti mérés időpontjára 77%-al csökkent azok aránya, akik a legalacsonyabb, haladó kategóriába tartoztak (9 helyett 2 diák), míg a kísérletben részt vevő tanulók esetében ez az arány 70% volt (10 helyett 3 diák).</w:t>
      </w:r>
    </w:p>
    <w:p w14:paraId="7285B7B3" w14:textId="452ECD25" w:rsidR="00DA3E5D" w:rsidRPr="005A3C94" w:rsidRDefault="002115A7" w:rsidP="004401F3">
      <w:pPr>
        <w:jc w:val="center"/>
      </w:pPr>
      <w:r w:rsidRPr="005A3C94">
        <w:rPr>
          <w:noProof/>
          <w:lang w:eastAsia="hu-HU"/>
        </w:rPr>
        <w:drawing>
          <wp:inline distT="0" distB="0" distL="0" distR="0" wp14:anchorId="074C144C" wp14:editId="0CB36414">
            <wp:extent cx="4572000" cy="2609850"/>
            <wp:effectExtent l="0" t="0" r="0" b="0"/>
            <wp:docPr id="29" name="Diagra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D69C8C0" w14:textId="10749F88" w:rsidR="00907F3D" w:rsidRPr="005A3C94" w:rsidRDefault="002115A7" w:rsidP="002115A7">
      <w:pPr>
        <w:pStyle w:val="Kpalrs"/>
        <w:rPr>
          <w:rFonts w:ascii="Times New Roman" w:hAnsi="Times New Roman" w:cs="Times New Roman"/>
          <w:sz w:val="24"/>
          <w:szCs w:val="24"/>
        </w:rPr>
      </w:pPr>
      <w:r w:rsidRPr="005A3C94">
        <w:rPr>
          <w:rFonts w:ascii="Times New Roman" w:hAnsi="Times New Roman" w:cs="Times New Roman"/>
          <w:sz w:val="24"/>
          <w:szCs w:val="24"/>
        </w:rPr>
        <w:fldChar w:fldCharType="begin"/>
      </w:r>
      <w:r w:rsidRPr="005A3C94">
        <w:rPr>
          <w:rFonts w:ascii="Times New Roman" w:hAnsi="Times New Roman" w:cs="Times New Roman"/>
          <w:sz w:val="24"/>
          <w:szCs w:val="24"/>
        </w:rPr>
        <w:instrText xml:space="preserve"> SEQ ábra \* ARABIC </w:instrText>
      </w:r>
      <w:r w:rsidRPr="005A3C94">
        <w:rPr>
          <w:rFonts w:ascii="Times New Roman" w:hAnsi="Times New Roman" w:cs="Times New Roman"/>
          <w:sz w:val="24"/>
          <w:szCs w:val="24"/>
        </w:rPr>
        <w:fldChar w:fldCharType="separate"/>
      </w:r>
      <w:r w:rsidR="00483414" w:rsidRPr="005A3C94">
        <w:rPr>
          <w:rFonts w:ascii="Times New Roman" w:hAnsi="Times New Roman" w:cs="Times New Roman"/>
          <w:noProof/>
          <w:sz w:val="24"/>
          <w:szCs w:val="24"/>
        </w:rPr>
        <w:t>16</w:t>
      </w:r>
      <w:r w:rsidRPr="005A3C94">
        <w:rPr>
          <w:rFonts w:ascii="Times New Roman" w:hAnsi="Times New Roman" w:cs="Times New Roman"/>
          <w:sz w:val="24"/>
          <w:szCs w:val="24"/>
        </w:rPr>
        <w:fldChar w:fldCharType="end"/>
      </w:r>
      <w:r w:rsidRPr="005A3C94">
        <w:t>. ábra: A diákok olvasási kiépültsége az egyes iskolákban bemeneti méréskor</w:t>
      </w:r>
    </w:p>
    <w:p w14:paraId="45FEAF25" w14:textId="77777777" w:rsidR="002115A7" w:rsidRPr="005A3C94" w:rsidRDefault="002115A7" w:rsidP="002115A7">
      <w:pPr>
        <w:keepNext/>
        <w:spacing w:line="276" w:lineRule="auto"/>
        <w:jc w:val="center"/>
      </w:pPr>
      <w:r w:rsidRPr="005A3C94">
        <w:rPr>
          <w:noProof/>
          <w:lang w:eastAsia="hu-HU"/>
        </w:rPr>
        <w:drawing>
          <wp:inline distT="0" distB="0" distL="0" distR="0" wp14:anchorId="45401DC7" wp14:editId="47C33428">
            <wp:extent cx="4572000" cy="2743200"/>
            <wp:effectExtent l="0" t="0" r="0" b="0"/>
            <wp:docPr id="30" name="Diagra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EF8C0A4" w14:textId="2BBFE6CA" w:rsidR="00907F3D" w:rsidRPr="005A3C94" w:rsidRDefault="002115A7" w:rsidP="002115A7">
      <w:pPr>
        <w:pStyle w:val="Kpalrs"/>
        <w:jc w:val="both"/>
        <w:rPr>
          <w:rFonts w:ascii="Times New Roman" w:hAnsi="Times New Roman" w:cs="Times New Roman"/>
          <w:sz w:val="24"/>
          <w:szCs w:val="24"/>
        </w:rPr>
      </w:pPr>
      <w:r w:rsidRPr="005A3C94">
        <w:rPr>
          <w:rFonts w:ascii="Times New Roman" w:hAnsi="Times New Roman" w:cs="Times New Roman"/>
          <w:sz w:val="24"/>
          <w:szCs w:val="24"/>
        </w:rPr>
        <w:fldChar w:fldCharType="begin"/>
      </w:r>
      <w:r w:rsidRPr="005A3C94">
        <w:rPr>
          <w:rFonts w:ascii="Times New Roman" w:hAnsi="Times New Roman" w:cs="Times New Roman"/>
          <w:sz w:val="24"/>
          <w:szCs w:val="24"/>
        </w:rPr>
        <w:instrText xml:space="preserve"> SEQ ábra \* ARABIC </w:instrText>
      </w:r>
      <w:r w:rsidRPr="005A3C94">
        <w:rPr>
          <w:rFonts w:ascii="Times New Roman" w:hAnsi="Times New Roman" w:cs="Times New Roman"/>
          <w:sz w:val="24"/>
          <w:szCs w:val="24"/>
        </w:rPr>
        <w:fldChar w:fldCharType="separate"/>
      </w:r>
      <w:r w:rsidR="00483414" w:rsidRPr="005A3C94">
        <w:rPr>
          <w:rFonts w:ascii="Times New Roman" w:hAnsi="Times New Roman" w:cs="Times New Roman"/>
          <w:noProof/>
          <w:sz w:val="24"/>
          <w:szCs w:val="24"/>
        </w:rPr>
        <w:t>17</w:t>
      </w:r>
      <w:r w:rsidRPr="005A3C94">
        <w:rPr>
          <w:rFonts w:ascii="Times New Roman" w:hAnsi="Times New Roman" w:cs="Times New Roman"/>
          <w:sz w:val="24"/>
          <w:szCs w:val="24"/>
        </w:rPr>
        <w:fldChar w:fldCharType="end"/>
      </w:r>
      <w:r w:rsidRPr="005A3C94">
        <w:t>. ábra: A diákok olvasási képültsége a kimeneti méréskor</w:t>
      </w:r>
    </w:p>
    <w:p w14:paraId="151DF6FE" w14:textId="77777777" w:rsidR="00A06860" w:rsidRPr="005A3C94" w:rsidRDefault="00A06860">
      <w:pPr>
        <w:rPr>
          <w:rFonts w:asciiTheme="majorHAnsi" w:eastAsiaTheme="majorEastAsia" w:hAnsiTheme="majorHAnsi" w:cstheme="majorBidi"/>
          <w:color w:val="1F4D78" w:themeColor="accent1" w:themeShade="7F"/>
          <w:sz w:val="24"/>
          <w:szCs w:val="24"/>
        </w:rPr>
      </w:pPr>
      <w:r w:rsidRPr="005A3C94">
        <w:br w:type="page"/>
      </w:r>
    </w:p>
    <w:p w14:paraId="13929842" w14:textId="41131BCA" w:rsidR="00F80B87" w:rsidRPr="005A3C94" w:rsidRDefault="00F80B87" w:rsidP="00F80B87">
      <w:pPr>
        <w:pStyle w:val="Cmsor3"/>
        <w:spacing w:line="360" w:lineRule="auto"/>
      </w:pPr>
      <w:bookmarkStart w:id="26" w:name="_Toc437242836"/>
      <w:r w:rsidRPr="005A3C94">
        <w:t>Matematika eredmények</w:t>
      </w:r>
      <w:bookmarkEnd w:id="26"/>
    </w:p>
    <w:p w14:paraId="6F822B30" w14:textId="7EEBC6C0" w:rsidR="001F2659" w:rsidRPr="005A3C94" w:rsidRDefault="00F80B87" w:rsidP="001B4AD8">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 matematika eredmények </w:t>
      </w:r>
      <w:r w:rsidR="00A06860" w:rsidRPr="005A3C94">
        <w:rPr>
          <w:rFonts w:ascii="Times New Roman" w:hAnsi="Times New Roman" w:cs="Times New Roman"/>
          <w:sz w:val="24"/>
          <w:szCs w:val="24"/>
        </w:rPr>
        <w:t xml:space="preserve">alapján vegyes képet kapunk, a kontroll és kísérleti csoportok esetében is találunk olyan csoportot is, ahol romlott az eredmény, olyat is, ahol javult. </w:t>
      </w:r>
      <w:r w:rsidR="001B4AD8" w:rsidRPr="005A3C94">
        <w:rPr>
          <w:rFonts w:ascii="Times New Roman" w:hAnsi="Times New Roman" w:cs="Times New Roman"/>
          <w:sz w:val="24"/>
          <w:szCs w:val="24"/>
        </w:rPr>
        <w:t xml:space="preserve">Látható, hogy mind a Meszes, mind a Bártfa tagiskola kísérleti csoportjában javult a helyes válaszok aránya, és csökkent mind a rossz, mind a hiányzó válaszok száma. </w:t>
      </w:r>
      <w:r w:rsidR="00200C00" w:rsidRPr="005A3C94">
        <w:rPr>
          <w:rFonts w:ascii="Times New Roman" w:hAnsi="Times New Roman" w:cs="Times New Roman"/>
          <w:sz w:val="24"/>
          <w:szCs w:val="24"/>
        </w:rPr>
        <w:t>A Somogy tagiskola kísérleti csoportjában azonban romlott az eredmény mind a három mutató szerint. Látható tehát, hogy a program nem azonos módon fejti ki a hatását, minden iskolán, közösségen, tanulócsoporton belül.</w:t>
      </w:r>
    </w:p>
    <w:p w14:paraId="07125F88" w14:textId="77777777" w:rsidR="000A5394" w:rsidRPr="005A3C94" w:rsidRDefault="000A5394" w:rsidP="004401F3">
      <w:r w:rsidRPr="005A3C94">
        <w:rPr>
          <w:noProof/>
          <w:lang w:eastAsia="hu-HU"/>
        </w:rPr>
        <w:drawing>
          <wp:inline distT="0" distB="0" distL="0" distR="0" wp14:anchorId="767A6DDF" wp14:editId="51D60590">
            <wp:extent cx="5753100" cy="2890838"/>
            <wp:effectExtent l="0" t="0" r="0" b="5080"/>
            <wp:docPr id="31" name="Diagra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6E7A54B" w14:textId="479F47DB" w:rsidR="000A5394" w:rsidRPr="005A3C94" w:rsidRDefault="00DF1D13" w:rsidP="000A5394">
      <w:pPr>
        <w:pStyle w:val="Kpalrs"/>
      </w:pPr>
      <w:r>
        <w:fldChar w:fldCharType="begin"/>
      </w:r>
      <w:r>
        <w:instrText xml:space="preserve"> SEQ ábra \* ARABIC </w:instrText>
      </w:r>
      <w:r>
        <w:fldChar w:fldCharType="separate"/>
      </w:r>
      <w:r w:rsidR="00483414" w:rsidRPr="005A3C94">
        <w:rPr>
          <w:noProof/>
        </w:rPr>
        <w:t>18</w:t>
      </w:r>
      <w:r>
        <w:rPr>
          <w:noProof/>
        </w:rPr>
        <w:fldChar w:fldCharType="end"/>
      </w:r>
      <w:r w:rsidR="000A5394" w:rsidRPr="005A3C94">
        <w:t>. ábra: A diákok standardizált</w:t>
      </w:r>
      <w:r w:rsidR="009378D1" w:rsidRPr="005A3C94">
        <w:t xml:space="preserve"> átlagos</w:t>
      </w:r>
      <w:r w:rsidR="000A5394" w:rsidRPr="005A3C94">
        <w:t xml:space="preserve"> matematika eredménye iskolánként a bemeneti méréskor</w:t>
      </w:r>
    </w:p>
    <w:p w14:paraId="367DA2A7" w14:textId="77777777" w:rsidR="009378D1" w:rsidRPr="005A3C94" w:rsidRDefault="009378D1" w:rsidP="004401F3">
      <w:r w:rsidRPr="005A3C94">
        <w:rPr>
          <w:noProof/>
          <w:lang w:eastAsia="hu-HU"/>
        </w:rPr>
        <w:drawing>
          <wp:inline distT="0" distB="0" distL="0" distR="0" wp14:anchorId="6FD87377" wp14:editId="5DD28594">
            <wp:extent cx="5743575" cy="2743200"/>
            <wp:effectExtent l="0" t="0" r="9525" b="0"/>
            <wp:docPr id="128" name="Diagram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CD5A335" w14:textId="4F8983ED" w:rsidR="009378D1" w:rsidRPr="005A3C94" w:rsidRDefault="00DF1D13" w:rsidP="009378D1">
      <w:pPr>
        <w:pStyle w:val="Kpalrs"/>
      </w:pPr>
      <w:r>
        <w:fldChar w:fldCharType="begin"/>
      </w:r>
      <w:r>
        <w:instrText xml:space="preserve"> SEQ ábra \* ARABIC </w:instrText>
      </w:r>
      <w:r>
        <w:fldChar w:fldCharType="separate"/>
      </w:r>
      <w:r w:rsidR="00483414" w:rsidRPr="005A3C94">
        <w:rPr>
          <w:noProof/>
        </w:rPr>
        <w:t>19</w:t>
      </w:r>
      <w:r>
        <w:rPr>
          <w:noProof/>
        </w:rPr>
        <w:fldChar w:fldCharType="end"/>
      </w:r>
      <w:r w:rsidR="009378D1" w:rsidRPr="005A3C94">
        <w:t>. ábra: A diákok standardizált átlagos matematika eredménye iskolánként a kimeneti méréskor</w:t>
      </w:r>
    </w:p>
    <w:p w14:paraId="29502FBE" w14:textId="77777777" w:rsidR="004401F3" w:rsidRPr="005A3C94" w:rsidRDefault="004401F3" w:rsidP="004401F3">
      <w:pPr>
        <w:rPr>
          <w:rFonts w:ascii="Times New Roman" w:eastAsiaTheme="majorEastAsia" w:hAnsi="Times New Roman" w:cs="Times New Roman"/>
          <w:color w:val="2E74B5" w:themeColor="accent1" w:themeShade="BF"/>
          <w:sz w:val="24"/>
          <w:szCs w:val="24"/>
          <w:highlight w:val="lightGray"/>
        </w:rPr>
      </w:pPr>
      <w:r w:rsidRPr="005A3C94">
        <w:rPr>
          <w:rFonts w:ascii="Times New Roman" w:hAnsi="Times New Roman" w:cs="Times New Roman"/>
          <w:sz w:val="24"/>
          <w:szCs w:val="24"/>
          <w:highlight w:val="lightGray"/>
        </w:rPr>
        <w:br w:type="page"/>
      </w:r>
    </w:p>
    <w:p w14:paraId="59DA17B6" w14:textId="64AC452B" w:rsidR="004401F3" w:rsidRPr="005A3C94" w:rsidRDefault="00483414" w:rsidP="0035208F">
      <w:pPr>
        <w:pStyle w:val="Cmsor2"/>
      </w:pPr>
      <w:bookmarkStart w:id="27" w:name="_Toc437242837"/>
      <w:r w:rsidRPr="005A3C94">
        <w:t>A tanulási motiváció és az empátia vizsgálata egy-egy kiemelt állításon keresztül</w:t>
      </w:r>
      <w:bookmarkEnd w:id="27"/>
    </w:p>
    <w:p w14:paraId="428FBDC0" w14:textId="45B82F7A" w:rsidR="00483414" w:rsidRPr="005A3C94" w:rsidRDefault="00483414" w:rsidP="004401F3">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Az eddigiekben bemutatott eredmények alapján úgy tűnik, hogy bár a programban részt vevő diákoknak szignifikánsan javult az önképe, és fejlődtek a szociális képességeik, a tanulási motivációjuk nem nőtt, és az empátiás képességek vizsgálatakor sem találtunk pozitív tendenciát. Ebben a fejezetben e két utóbbi témakört vizsgáljuk meg alaposabban. </w:t>
      </w:r>
    </w:p>
    <w:p w14:paraId="16274D07" w14:textId="1082AC32" w:rsidR="004401F3" w:rsidRPr="005A3C94" w:rsidRDefault="004401F3" w:rsidP="004401F3">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 következőekben bemutatunk egy-egy állítást, és azt, hogy mennyire tudtak ezzel azonosulni a diákok a bemeneti </w:t>
      </w:r>
      <w:r w:rsidR="00FD4ECC" w:rsidRPr="005A3C94">
        <w:rPr>
          <w:rFonts w:ascii="Times New Roman" w:hAnsi="Times New Roman" w:cs="Times New Roman"/>
          <w:sz w:val="24"/>
          <w:szCs w:val="24"/>
        </w:rPr>
        <w:t xml:space="preserve">és kimeneti mérés időpontjában. A diákokat </w:t>
      </w:r>
      <w:r w:rsidR="0058292C" w:rsidRPr="005A3C94">
        <w:rPr>
          <w:rFonts w:ascii="Times New Roman" w:hAnsi="Times New Roman" w:cs="Times New Roman"/>
          <w:sz w:val="24"/>
          <w:szCs w:val="24"/>
        </w:rPr>
        <w:t xml:space="preserve">ismét </w:t>
      </w:r>
      <w:r w:rsidR="00FD4ECC" w:rsidRPr="005A3C94">
        <w:rPr>
          <w:rFonts w:ascii="Times New Roman" w:hAnsi="Times New Roman" w:cs="Times New Roman"/>
          <w:sz w:val="24"/>
          <w:szCs w:val="24"/>
        </w:rPr>
        <w:t>jövedelmi helyzetük alapján bontottuk csoportokra</w:t>
      </w:r>
      <w:r w:rsidR="0058292C" w:rsidRPr="005A3C94">
        <w:rPr>
          <w:rFonts w:ascii="Times New Roman" w:hAnsi="Times New Roman" w:cs="Times New Roman"/>
          <w:sz w:val="24"/>
          <w:szCs w:val="24"/>
        </w:rPr>
        <w:t>. A vizsgálat alapján a programnak ezeken a területeken is voltak pozitív ré</w:t>
      </w:r>
      <w:r w:rsidR="005A3C94" w:rsidRPr="005A3C94">
        <w:rPr>
          <w:rFonts w:ascii="Times New Roman" w:hAnsi="Times New Roman" w:cs="Times New Roman"/>
          <w:sz w:val="24"/>
          <w:szCs w:val="24"/>
        </w:rPr>
        <w:t>sz</w:t>
      </w:r>
      <w:r w:rsidR="0058292C" w:rsidRPr="005A3C94">
        <w:rPr>
          <w:rFonts w:ascii="Times New Roman" w:hAnsi="Times New Roman" w:cs="Times New Roman"/>
          <w:sz w:val="24"/>
          <w:szCs w:val="24"/>
        </w:rPr>
        <w:t xml:space="preserve">eredményei. </w:t>
      </w:r>
      <w:r w:rsidR="0058292C" w:rsidRPr="005A3C94">
        <w:rPr>
          <w:rFonts w:ascii="Times New Roman" w:hAnsi="Times New Roman" w:cs="Times New Roman"/>
          <w:b/>
          <w:sz w:val="24"/>
          <w:szCs w:val="24"/>
        </w:rPr>
        <w:t>A legkevésbé jómódú családból származó diákok körében nőtt azok aránya, akik hajlandó</w:t>
      </w:r>
      <w:r w:rsidR="005A3C94" w:rsidRPr="005A3C94">
        <w:rPr>
          <w:rFonts w:ascii="Times New Roman" w:hAnsi="Times New Roman" w:cs="Times New Roman"/>
          <w:b/>
          <w:sz w:val="24"/>
          <w:szCs w:val="24"/>
        </w:rPr>
        <w:t>ak</w:t>
      </w:r>
      <w:r w:rsidR="0058292C" w:rsidRPr="005A3C94">
        <w:rPr>
          <w:rFonts w:ascii="Times New Roman" w:hAnsi="Times New Roman" w:cs="Times New Roman"/>
          <w:b/>
          <w:sz w:val="24"/>
          <w:szCs w:val="24"/>
        </w:rPr>
        <w:t xml:space="preserve"> olyan dolgokat is tanulni, amiről nem gondolják azt, hogy az érdeklődési körükbe tartozik.</w:t>
      </w:r>
      <w:r w:rsidR="005A3C94" w:rsidRPr="005A3C94">
        <w:rPr>
          <w:rFonts w:ascii="Times New Roman" w:hAnsi="Times New Roman" w:cs="Times New Roman"/>
          <w:b/>
          <w:sz w:val="24"/>
          <w:szCs w:val="24"/>
        </w:rPr>
        <w:t xml:space="preserve"> Az empátiával kapcsolatos állítások esetén nem találunk egyértelműen pozitív eredményt, de az látszik, hogy a jómódú diákok esetében nem csökkent azok aránya, akik együtt tudnak érezni kigúnyolt társaikkal.</w:t>
      </w:r>
    </w:p>
    <w:p w14:paraId="7F0AFE12" w14:textId="7FE7EE3C" w:rsidR="004401F3" w:rsidRPr="005A3C94" w:rsidRDefault="0058292C" w:rsidP="00FD4ECC">
      <w:pPr>
        <w:pStyle w:val="Cmsor3"/>
        <w:spacing w:line="360" w:lineRule="auto"/>
      </w:pPr>
      <w:bookmarkStart w:id="28" w:name="_Toc437242838"/>
      <w:r w:rsidRPr="005A3C94">
        <w:t xml:space="preserve"> </w:t>
      </w:r>
      <w:r w:rsidR="004401F3" w:rsidRPr="005A3C94">
        <w:t>„Csak azt tanulom meg, ami érdekel”</w:t>
      </w:r>
      <w:r w:rsidR="00483414" w:rsidRPr="005A3C94">
        <w:t xml:space="preserve"> – Tanulási motiváció</w:t>
      </w:r>
      <w:bookmarkEnd w:id="28"/>
    </w:p>
    <w:p w14:paraId="3E8921F4" w14:textId="6EC7BE99" w:rsidR="004401F3" w:rsidRPr="005A3C94" w:rsidRDefault="00FD4ECC" w:rsidP="00FD4ECC">
      <w:pPr>
        <w:spacing w:line="276" w:lineRule="auto"/>
        <w:jc w:val="both"/>
      </w:pPr>
      <w:r w:rsidRPr="005A3C94">
        <w:rPr>
          <w:rFonts w:ascii="Times New Roman" w:hAnsi="Times New Roman" w:cs="Times New Roman"/>
          <w:sz w:val="24"/>
          <w:szCs w:val="24"/>
        </w:rPr>
        <w:t xml:space="preserve">Az első vizsgált állítás a tanulási motivációra vonatkozott, a KP projektben részt vevő diákoknak el kellett dönteniük, hogy mennyire tudnak azonosulni a mondattal: </w:t>
      </w:r>
      <w:r w:rsidRPr="005A3C94">
        <w:rPr>
          <w:rFonts w:ascii="Times New Roman" w:hAnsi="Times New Roman" w:cs="Times New Roman"/>
          <w:i/>
          <w:sz w:val="24"/>
          <w:szCs w:val="24"/>
        </w:rPr>
        <w:t>Csak azt tanulom meg, ami érdekel</w:t>
      </w:r>
      <w:r w:rsidRPr="005A3C94">
        <w:rPr>
          <w:rFonts w:ascii="Times New Roman" w:hAnsi="Times New Roman" w:cs="Times New Roman"/>
          <w:sz w:val="24"/>
          <w:szCs w:val="24"/>
        </w:rPr>
        <w:t xml:space="preserve">. Az ábrán jól látható, hogy a kimeneti mérés időpontjában mind a három kategóriában csökkent azoknak az aránya, akik teljesen magukénak érezték ezt a kijelentést. Fontos eredmény, hogy a szerényebb jövedelmi helyzetű (0-2 tárgyat birtokló) diákok attitűdje jelentősen átformálódott, 27,8%-uk helyett már csak a </w:t>
      </w:r>
      <w:proofErr w:type="spellStart"/>
      <w:r w:rsidRPr="005A3C94">
        <w:rPr>
          <w:rFonts w:ascii="Times New Roman" w:hAnsi="Times New Roman" w:cs="Times New Roman"/>
          <w:sz w:val="24"/>
          <w:szCs w:val="24"/>
        </w:rPr>
        <w:t>tanulól</w:t>
      </w:r>
      <w:proofErr w:type="spellEnd"/>
      <w:r w:rsidRPr="005A3C94">
        <w:rPr>
          <w:rFonts w:ascii="Times New Roman" w:hAnsi="Times New Roman" w:cs="Times New Roman"/>
          <w:sz w:val="24"/>
          <w:szCs w:val="24"/>
        </w:rPr>
        <w:t xml:space="preserve"> 16,7%-</w:t>
      </w:r>
      <w:proofErr w:type="gramStart"/>
      <w:r w:rsidRPr="005A3C94">
        <w:rPr>
          <w:rFonts w:ascii="Times New Roman" w:hAnsi="Times New Roman" w:cs="Times New Roman"/>
          <w:sz w:val="24"/>
          <w:szCs w:val="24"/>
        </w:rPr>
        <w:t>a</w:t>
      </w:r>
      <w:proofErr w:type="gramEnd"/>
      <w:r w:rsidRPr="005A3C94">
        <w:rPr>
          <w:rFonts w:ascii="Times New Roman" w:hAnsi="Times New Roman" w:cs="Times New Roman"/>
          <w:sz w:val="24"/>
          <w:szCs w:val="24"/>
        </w:rPr>
        <w:t xml:space="preserve"> érezte teljesen rá jellemzőnek a mondatot.</w:t>
      </w:r>
      <w:r w:rsidR="0058292C" w:rsidRPr="005A3C94">
        <w:rPr>
          <w:rFonts w:ascii="Times New Roman" w:hAnsi="Times New Roman" w:cs="Times New Roman"/>
          <w:sz w:val="24"/>
          <w:szCs w:val="24"/>
        </w:rPr>
        <w:t xml:space="preserve"> Lehetséges, hogy ezek olyan diákok, akik úgy vélekednek magukról, hogy egyáltalán nem érdekli őket a matematika, de a program hatására elkezdtek figyelni az órákon.</w:t>
      </w:r>
    </w:p>
    <w:p w14:paraId="56E59E07" w14:textId="77777777" w:rsidR="00483414" w:rsidRPr="005A3C94" w:rsidRDefault="003C0BAA" w:rsidP="00483414">
      <w:pPr>
        <w:keepNext/>
      </w:pPr>
      <w:r w:rsidRPr="005A3C94">
        <w:rPr>
          <w:noProof/>
          <w:lang w:eastAsia="hu-HU"/>
        </w:rPr>
        <w:drawing>
          <wp:inline distT="0" distB="0" distL="0" distR="0" wp14:anchorId="09C59D25" wp14:editId="1D0F08F6">
            <wp:extent cx="2743200" cy="320992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5A3C94">
        <w:rPr>
          <w:noProof/>
          <w:lang w:eastAsia="hu-HU"/>
        </w:rPr>
        <w:drawing>
          <wp:inline distT="0" distB="0" distL="0" distR="0" wp14:anchorId="4750DDEF" wp14:editId="64D78FEB">
            <wp:extent cx="2743200" cy="31527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80A2C71" w14:textId="6F7AAB97" w:rsidR="00FD4ECC" w:rsidRPr="005A3C94" w:rsidRDefault="00DF1D13" w:rsidP="00483414">
      <w:pPr>
        <w:pStyle w:val="Kpalrs"/>
      </w:pPr>
      <w:r>
        <w:fldChar w:fldCharType="begin"/>
      </w:r>
      <w:r>
        <w:instrText xml:space="preserve"> SEQ ábra \* ARABIC </w:instrText>
      </w:r>
      <w:r>
        <w:fldChar w:fldCharType="separate"/>
      </w:r>
      <w:r w:rsidR="00483414" w:rsidRPr="005A3C94">
        <w:rPr>
          <w:noProof/>
        </w:rPr>
        <w:t>20</w:t>
      </w:r>
      <w:r>
        <w:rPr>
          <w:noProof/>
        </w:rPr>
        <w:fldChar w:fldCharType="end"/>
      </w:r>
      <w:r w:rsidR="00483414" w:rsidRPr="005A3C94">
        <w:t>. ábra: A diákok tanulási motivációjának vizsgálata egy kiemelt állításon keresztül (egyéni tárgyak alapján bontva)</w:t>
      </w:r>
    </w:p>
    <w:p w14:paraId="21A947BF" w14:textId="7985D485" w:rsidR="00DA3E5D" w:rsidRPr="005A3C94" w:rsidRDefault="00FD4ECC" w:rsidP="00FD4EC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A következő ábra is az </w:t>
      </w:r>
      <w:proofErr w:type="spellStart"/>
      <w:r w:rsidRPr="005A3C94">
        <w:rPr>
          <w:rFonts w:ascii="Times New Roman" w:hAnsi="Times New Roman" w:cs="Times New Roman"/>
          <w:sz w:val="24"/>
          <w:szCs w:val="24"/>
        </w:rPr>
        <w:t>ugyenerre</w:t>
      </w:r>
      <w:proofErr w:type="spellEnd"/>
      <w:r w:rsidRPr="005A3C94">
        <w:rPr>
          <w:rFonts w:ascii="Times New Roman" w:hAnsi="Times New Roman" w:cs="Times New Roman"/>
          <w:sz w:val="24"/>
          <w:szCs w:val="24"/>
        </w:rPr>
        <w:t xml:space="preserve"> az állításra adott válaszokat vizsgálja, de itt a diákokat a szüleik által birtokolt tárgyak alapján osztottuk csoportokba. A tanulság hasonló, minden kategóriában csökkent a teljesen pozitív választ adók száma, a legkevesebb tárggyal rendelkezők csoportjában pedig amellett, hogy csökkent </w:t>
      </w:r>
      <w:proofErr w:type="spellStart"/>
      <w:r w:rsidRPr="005A3C94">
        <w:rPr>
          <w:rFonts w:ascii="Times New Roman" w:hAnsi="Times New Roman" w:cs="Times New Roman"/>
          <w:sz w:val="24"/>
          <w:szCs w:val="24"/>
        </w:rPr>
        <w:t>amondattal</w:t>
      </w:r>
      <w:proofErr w:type="spellEnd"/>
      <w:r w:rsidRPr="005A3C94">
        <w:rPr>
          <w:rFonts w:ascii="Times New Roman" w:hAnsi="Times New Roman" w:cs="Times New Roman"/>
          <w:sz w:val="24"/>
          <w:szCs w:val="24"/>
        </w:rPr>
        <w:t xml:space="preserve"> teljesen azonosuló diákok aránya, nőtt azoké, aki inkább nem, csak kevéssé azonosulnak az állítással.</w:t>
      </w:r>
    </w:p>
    <w:p w14:paraId="4EEF4D5D" w14:textId="77777777" w:rsidR="00483414" w:rsidRPr="005A3C94" w:rsidRDefault="00FD4ECC" w:rsidP="00483414">
      <w:pPr>
        <w:keepNext/>
      </w:pPr>
      <w:r w:rsidRPr="005A3C94">
        <w:rPr>
          <w:noProof/>
          <w:lang w:eastAsia="hu-HU"/>
        </w:rPr>
        <w:drawing>
          <wp:inline distT="0" distB="0" distL="0" distR="0" wp14:anchorId="7B4FA3C6" wp14:editId="1E36DAC5">
            <wp:extent cx="2952750" cy="340042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5A3C94">
        <w:rPr>
          <w:noProof/>
          <w:lang w:eastAsia="hu-HU"/>
        </w:rPr>
        <w:t xml:space="preserve"> </w:t>
      </w:r>
      <w:r w:rsidRPr="005A3C94">
        <w:rPr>
          <w:noProof/>
          <w:lang w:eastAsia="hu-HU"/>
        </w:rPr>
        <w:drawing>
          <wp:inline distT="0" distB="0" distL="0" distR="0" wp14:anchorId="6F8557E3" wp14:editId="397372FC">
            <wp:extent cx="2771775" cy="340042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62758DE" w14:textId="215F74C2" w:rsidR="004401F3" w:rsidRPr="005A3C94" w:rsidRDefault="00DF1D13" w:rsidP="00483414">
      <w:pPr>
        <w:pStyle w:val="Kpalrs"/>
      </w:pPr>
      <w:r>
        <w:fldChar w:fldCharType="begin"/>
      </w:r>
      <w:r>
        <w:instrText xml:space="preserve"> SEQ ábra \* ARABIC </w:instrText>
      </w:r>
      <w:r>
        <w:fldChar w:fldCharType="separate"/>
      </w:r>
      <w:r w:rsidR="00483414" w:rsidRPr="005A3C94">
        <w:rPr>
          <w:noProof/>
        </w:rPr>
        <w:t>21</w:t>
      </w:r>
      <w:r>
        <w:rPr>
          <w:noProof/>
        </w:rPr>
        <w:fldChar w:fldCharType="end"/>
      </w:r>
      <w:r w:rsidR="00483414" w:rsidRPr="005A3C94">
        <w:t>. ábra: A diákok tanulási motivációjának vizsgálata egy kiemelt mondaton keresztül (családi tárgyak szerint bontva)</w:t>
      </w:r>
    </w:p>
    <w:p w14:paraId="7065F631" w14:textId="77777777" w:rsidR="00483414" w:rsidRPr="005A3C94" w:rsidRDefault="00483414">
      <w:pPr>
        <w:rPr>
          <w:rFonts w:asciiTheme="majorHAnsi" w:eastAsiaTheme="majorEastAsia" w:hAnsiTheme="majorHAnsi" w:cstheme="majorBidi"/>
          <w:color w:val="1F4D78" w:themeColor="accent1" w:themeShade="7F"/>
          <w:sz w:val="24"/>
          <w:szCs w:val="24"/>
        </w:rPr>
      </w:pPr>
      <w:r w:rsidRPr="005A3C94">
        <w:rPr>
          <w:rFonts w:asciiTheme="majorHAnsi" w:eastAsiaTheme="majorEastAsia" w:hAnsiTheme="majorHAnsi" w:cstheme="majorBidi"/>
          <w:color w:val="1F4D78" w:themeColor="accent1" w:themeShade="7F"/>
          <w:sz w:val="24"/>
          <w:szCs w:val="24"/>
        </w:rPr>
        <w:br w:type="page"/>
      </w:r>
    </w:p>
    <w:p w14:paraId="34B795B1" w14:textId="1DB62995" w:rsidR="00F80B87" w:rsidRPr="005A3C94" w:rsidRDefault="00FD4ECC" w:rsidP="005A3C94">
      <w:pPr>
        <w:pStyle w:val="Cmsor3"/>
        <w:rPr>
          <w:rStyle w:val="Cmsor3Char"/>
        </w:rPr>
      </w:pPr>
      <w:r w:rsidRPr="005A3C94">
        <w:t>„</w:t>
      </w:r>
      <w:r w:rsidR="00483414" w:rsidRPr="005A3C94">
        <w:rPr>
          <w:rStyle w:val="Cmsor3Char"/>
        </w:rPr>
        <w:t>Ha valakit kigúnyolnak, mindig nagyon megsajnálom</w:t>
      </w:r>
      <w:r w:rsidRPr="005A3C94">
        <w:rPr>
          <w:rStyle w:val="Cmsor3Char"/>
        </w:rPr>
        <w:t>”</w:t>
      </w:r>
      <w:r w:rsidR="00483414" w:rsidRPr="005A3C94">
        <w:rPr>
          <w:rStyle w:val="Cmsor3Char"/>
        </w:rPr>
        <w:t xml:space="preserve"> - Empátia</w:t>
      </w:r>
    </w:p>
    <w:p w14:paraId="284081FA" w14:textId="7ED7F116" w:rsidR="00FD4ECC" w:rsidRPr="005A3C94" w:rsidRDefault="00FD4ECC" w:rsidP="005A3C94">
      <w:pPr>
        <w:spacing w:after="0" w:line="276" w:lineRule="auto"/>
        <w:jc w:val="both"/>
        <w:rPr>
          <w:rFonts w:ascii="Times New Roman" w:hAnsi="Times New Roman" w:cs="Times New Roman"/>
          <w:sz w:val="24"/>
          <w:szCs w:val="24"/>
        </w:rPr>
      </w:pPr>
      <w:r w:rsidRPr="005A3C94">
        <w:rPr>
          <w:rFonts w:ascii="Times New Roman" w:hAnsi="Times New Roman" w:cs="Times New Roman"/>
          <w:sz w:val="24"/>
          <w:szCs w:val="24"/>
        </w:rPr>
        <w:t xml:space="preserve">Második vizsgált állításunk a diákok empátiás képességét hivatott feltérképezni. A tanulmány korábbi fejezeteiben bemutatott eredményekkel összhangban a vizsgált kérdés esetében sem egy irányba mutatnak az eredmények. A 0-2 tárggyal rendelkezők esetében például csökkent azon diákok aránya, akik teljesen azonosulni tudnak a </w:t>
      </w:r>
      <w:proofErr w:type="spellStart"/>
      <w:r w:rsidRPr="005A3C94">
        <w:rPr>
          <w:rFonts w:ascii="Times New Roman" w:hAnsi="Times New Roman" w:cs="Times New Roman"/>
          <w:sz w:val="24"/>
          <w:szCs w:val="24"/>
        </w:rPr>
        <w:t>mondtattal</w:t>
      </w:r>
      <w:proofErr w:type="spellEnd"/>
      <w:r w:rsidRPr="005A3C94">
        <w:rPr>
          <w:rFonts w:ascii="Times New Roman" w:hAnsi="Times New Roman" w:cs="Times New Roman"/>
          <w:sz w:val="24"/>
          <w:szCs w:val="24"/>
        </w:rPr>
        <w:t>, de csökkent azok száma is, aki egyáltalán nem tartják magukra jellemzőnek az állítást. Ennek épp ellenkezőjét tapasztaljuk a középső (3 tárggyal rendelkező) csoportban, ahol a legerősebb pozitív és negatív választ adók aránya is növekedett.</w:t>
      </w:r>
    </w:p>
    <w:p w14:paraId="2AE3273D" w14:textId="77777777" w:rsidR="00483414" w:rsidRPr="005A3C94" w:rsidRDefault="00FD4ECC" w:rsidP="00483414">
      <w:pPr>
        <w:keepNext/>
      </w:pPr>
      <w:r w:rsidRPr="005A3C94">
        <w:rPr>
          <w:rFonts w:ascii="Times New Roman" w:hAnsi="Times New Roman" w:cs="Times New Roman"/>
          <w:noProof/>
          <w:sz w:val="24"/>
          <w:szCs w:val="24"/>
          <w:lang w:eastAsia="hu-HU"/>
        </w:rPr>
        <w:drawing>
          <wp:inline distT="0" distB="0" distL="0" distR="0" wp14:anchorId="03203884" wp14:editId="359B50B5">
            <wp:extent cx="2409825" cy="292417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5A3C94">
        <w:rPr>
          <w:rFonts w:ascii="Times New Roman" w:hAnsi="Times New Roman" w:cs="Times New Roman"/>
          <w:noProof/>
          <w:sz w:val="24"/>
          <w:szCs w:val="24"/>
          <w:lang w:eastAsia="hu-HU"/>
        </w:rPr>
        <w:drawing>
          <wp:inline distT="0" distB="0" distL="0" distR="0" wp14:anchorId="61A8A108" wp14:editId="6962EB53">
            <wp:extent cx="2428875" cy="291465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76518E3" w14:textId="0E333ED8" w:rsidR="00483414" w:rsidRPr="005A3C94" w:rsidRDefault="00DF1D13" w:rsidP="00483414">
      <w:pPr>
        <w:pStyle w:val="Kpalrs"/>
      </w:pPr>
      <w:r>
        <w:fldChar w:fldCharType="begin"/>
      </w:r>
      <w:r>
        <w:instrText xml:space="preserve"> SEQ ábra \* ARABIC </w:instrText>
      </w:r>
      <w:r>
        <w:fldChar w:fldCharType="separate"/>
      </w:r>
      <w:r w:rsidR="00483414" w:rsidRPr="005A3C94">
        <w:rPr>
          <w:noProof/>
        </w:rPr>
        <w:t>22</w:t>
      </w:r>
      <w:r>
        <w:rPr>
          <w:noProof/>
        </w:rPr>
        <w:fldChar w:fldCharType="end"/>
      </w:r>
      <w:r w:rsidR="00483414" w:rsidRPr="005A3C94">
        <w:t>. ábra: A diákok empátiás képességének vizsgálata egy kiemelt állításon keresztül (egyéni tárgyak szerint bontva)</w:t>
      </w:r>
    </w:p>
    <w:p w14:paraId="3D48CDA8" w14:textId="6954ED16" w:rsidR="00FD4ECC" w:rsidRPr="005A3C94" w:rsidRDefault="00FD4ECC" w:rsidP="00FD4ECC">
      <w:pPr>
        <w:spacing w:line="276" w:lineRule="auto"/>
        <w:jc w:val="both"/>
        <w:rPr>
          <w:rFonts w:ascii="Times New Roman" w:hAnsi="Times New Roman" w:cs="Times New Roman"/>
          <w:sz w:val="24"/>
          <w:szCs w:val="24"/>
        </w:rPr>
      </w:pPr>
      <w:r w:rsidRPr="005A3C94">
        <w:rPr>
          <w:rFonts w:ascii="Times New Roman" w:hAnsi="Times New Roman" w:cs="Times New Roman"/>
          <w:sz w:val="24"/>
          <w:szCs w:val="24"/>
        </w:rPr>
        <w:t>A következő ábrán ugyanez a mondat szerepel a fókuszban, csak a diákokat a családjuk által birtokolt tárgyak alapján osztottuk csoportokba.</w:t>
      </w:r>
    </w:p>
    <w:p w14:paraId="270165C1" w14:textId="77777777" w:rsidR="00483414" w:rsidRPr="005A3C94" w:rsidRDefault="00483414" w:rsidP="00483414">
      <w:pPr>
        <w:keepNext/>
        <w:spacing w:line="276" w:lineRule="auto"/>
        <w:jc w:val="both"/>
      </w:pPr>
      <w:r w:rsidRPr="005A3C94">
        <w:rPr>
          <w:noProof/>
          <w:lang w:eastAsia="hu-HU"/>
        </w:rPr>
        <w:drawing>
          <wp:inline distT="0" distB="0" distL="0" distR="0" wp14:anchorId="366AA752" wp14:editId="463A1663">
            <wp:extent cx="2495550" cy="27813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5A3C94">
        <w:rPr>
          <w:rFonts w:ascii="Times New Roman" w:hAnsi="Times New Roman" w:cs="Times New Roman"/>
          <w:noProof/>
          <w:sz w:val="24"/>
          <w:szCs w:val="24"/>
          <w:lang w:eastAsia="hu-HU"/>
        </w:rPr>
        <w:drawing>
          <wp:inline distT="0" distB="0" distL="0" distR="0" wp14:anchorId="016F7906" wp14:editId="45971739">
            <wp:extent cx="2571750" cy="2809875"/>
            <wp:effectExtent l="0" t="0" r="0" b="0"/>
            <wp:docPr id="135" name="Chart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52FB208" w14:textId="420C8861" w:rsidR="00483414" w:rsidRPr="005A3C94" w:rsidRDefault="00483414" w:rsidP="00483414">
      <w:pPr>
        <w:pStyle w:val="Kpalrs"/>
      </w:pPr>
      <w:r w:rsidRPr="005A3C94">
        <w:rPr>
          <w:rFonts w:cs="Times New Roman"/>
        </w:rPr>
        <w:fldChar w:fldCharType="begin"/>
      </w:r>
      <w:r w:rsidRPr="005A3C94">
        <w:rPr>
          <w:rFonts w:cs="Times New Roman"/>
        </w:rPr>
        <w:instrText xml:space="preserve"> SEQ ábra \* ARABIC </w:instrText>
      </w:r>
      <w:r w:rsidRPr="005A3C94">
        <w:rPr>
          <w:rFonts w:cs="Times New Roman"/>
        </w:rPr>
        <w:fldChar w:fldCharType="separate"/>
      </w:r>
      <w:r w:rsidRPr="005A3C94">
        <w:rPr>
          <w:rFonts w:cs="Times New Roman"/>
          <w:noProof/>
        </w:rPr>
        <w:t>23</w:t>
      </w:r>
      <w:r w:rsidRPr="005A3C94">
        <w:rPr>
          <w:rFonts w:cs="Times New Roman"/>
        </w:rPr>
        <w:fldChar w:fldCharType="end"/>
      </w:r>
      <w:r w:rsidRPr="005A3C94">
        <w:t>. ábra: A diákok empátiás képességének vizsgálata egy kiemelt állításon keresztül (a szülők által birtokolt tárgyak szerint bontva)</w:t>
      </w:r>
    </w:p>
    <w:p w14:paraId="50D40DEC" w14:textId="5346F17C" w:rsidR="00AF0740" w:rsidRDefault="0035208F" w:rsidP="005A3C94">
      <w:pPr>
        <w:pStyle w:val="Cmsor2"/>
      </w:pPr>
      <w:r>
        <w:t>Összefoglalás: A matematikai pilot-program kvantitatív elemzésének eredményei</w:t>
      </w:r>
    </w:p>
    <w:p w14:paraId="7C58F1FE" w14:textId="77777777" w:rsidR="001329BA" w:rsidRDefault="001329BA" w:rsidP="001329BA">
      <w:pPr>
        <w:spacing w:line="276" w:lineRule="auto"/>
        <w:jc w:val="both"/>
        <w:rPr>
          <w:rFonts w:ascii="Times New Roman" w:hAnsi="Times New Roman" w:cs="Times New Roman"/>
          <w:sz w:val="24"/>
          <w:szCs w:val="24"/>
        </w:rPr>
      </w:pPr>
    </w:p>
    <w:p w14:paraId="7A4E647A" w14:textId="77777777" w:rsidR="00A86D08" w:rsidRDefault="001329BA" w:rsidP="001329BA">
      <w:p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Pr="001329BA">
        <w:rPr>
          <w:rFonts w:ascii="Times New Roman" w:hAnsi="Times New Roman" w:cs="Times New Roman"/>
          <w:sz w:val="24"/>
          <w:szCs w:val="24"/>
        </w:rPr>
        <w:t xml:space="preserve"> kí</w:t>
      </w:r>
      <w:r>
        <w:rPr>
          <w:rFonts w:ascii="Times New Roman" w:hAnsi="Times New Roman" w:cs="Times New Roman"/>
          <w:sz w:val="24"/>
          <w:szCs w:val="24"/>
        </w:rPr>
        <w:t xml:space="preserve">sérleti és kontroll csoportok eredményeinek összevetéséből azt láttuk, hogy a bementi és kimeneti mérés között javult a KP programban résztvevő diákok énképe, és fejlődtek szociális képességeik, a kontroll csoportban tapasztalhatónál nagyobb </w:t>
      </w:r>
      <w:proofErr w:type="spellStart"/>
      <w:r>
        <w:rPr>
          <w:rFonts w:ascii="Times New Roman" w:hAnsi="Times New Roman" w:cs="Times New Roman"/>
          <w:sz w:val="24"/>
          <w:szCs w:val="24"/>
        </w:rPr>
        <w:t>mértékeben</w:t>
      </w:r>
      <w:proofErr w:type="spellEnd"/>
      <w:r w:rsidR="00221166">
        <w:rPr>
          <w:rFonts w:ascii="Times New Roman" w:hAnsi="Times New Roman" w:cs="Times New Roman"/>
          <w:sz w:val="24"/>
          <w:szCs w:val="24"/>
        </w:rPr>
        <w:t xml:space="preserve">. Az empátia és a tanulási motiváció szintje azonban nem nőtt szignifikánsan, sem a kísérleti, sem a kontroll csoportban. </w:t>
      </w:r>
    </w:p>
    <w:p w14:paraId="72F3894E" w14:textId="3A5EC4D7" w:rsidR="00A86D08" w:rsidRDefault="00A86D08" w:rsidP="00A86D0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diákok jövedelmi csoportokba sorolása alapján végzett vizsgálat során kiderült, hogy a legalacsonyabb jövedelmi csoportba tartozó diákoknak nem javult az önképe a program alatt, rájuk nem volt érvényes a pozitív hatás. Mind a kontroll, mind a kísérleti csoportokban jellemző, hogy a jómódú diákoknak alacsony az empátia szintje, azonban emellett a kísérleti csoportban a szerényebb háttérből származó tanulók empátia szintje is csökkent, ami tovább mélyítheti a különbséget a két csoport között. A programban való részvétel pozitív hatást fejtett ki a jó háttérből származó diákok tanulási motivációjára, de nem fejtett ki észlelhető hatást a legszegényebb diákok körében. Pozitív </w:t>
      </w:r>
      <w:r w:rsidR="00171A5B">
        <w:rPr>
          <w:rFonts w:ascii="Times New Roman" w:hAnsi="Times New Roman" w:cs="Times New Roman"/>
          <w:sz w:val="24"/>
          <w:szCs w:val="24"/>
        </w:rPr>
        <w:t>rész</w:t>
      </w:r>
      <w:r>
        <w:rPr>
          <w:rFonts w:ascii="Times New Roman" w:hAnsi="Times New Roman" w:cs="Times New Roman"/>
          <w:sz w:val="24"/>
          <w:szCs w:val="24"/>
        </w:rPr>
        <w:t xml:space="preserve">eredmény azonban, hogy </w:t>
      </w:r>
      <w:r w:rsidR="00171A5B">
        <w:rPr>
          <w:rFonts w:ascii="Times New Roman" w:hAnsi="Times New Roman" w:cs="Times New Roman"/>
          <w:sz w:val="24"/>
          <w:szCs w:val="24"/>
        </w:rPr>
        <w:t>nőtt azon szegény háttérből származó diákok száma, akik nem csak azokat a dolgokat hajlandóak megtanulni, amiről úgy gondolják, hogy az elsődleges érdeklődési körükbe tartozik. Összességében elmondható azonban</w:t>
      </w:r>
      <w:r>
        <w:rPr>
          <w:rFonts w:ascii="Times New Roman" w:hAnsi="Times New Roman" w:cs="Times New Roman"/>
          <w:sz w:val="24"/>
          <w:szCs w:val="24"/>
        </w:rPr>
        <w:t xml:space="preserve"> az, hogy minél jobb háttérrel rendelkezik egy diák, annál hajlamosabb pozitív választ adni az attitűd-kérdésekre. </w:t>
      </w:r>
    </w:p>
    <w:p w14:paraId="0D5B6D63" w14:textId="2C7186CC" w:rsidR="00221166" w:rsidRDefault="00221166" w:rsidP="001329BA">
      <w:pPr>
        <w:spacing w:line="276" w:lineRule="auto"/>
        <w:jc w:val="both"/>
        <w:rPr>
          <w:rFonts w:ascii="Times New Roman" w:hAnsi="Times New Roman" w:cs="Times New Roman"/>
          <w:sz w:val="24"/>
          <w:szCs w:val="24"/>
        </w:rPr>
      </w:pPr>
      <w:r>
        <w:rPr>
          <w:rFonts w:ascii="Times New Roman" w:hAnsi="Times New Roman" w:cs="Times New Roman"/>
          <w:sz w:val="24"/>
          <w:szCs w:val="24"/>
        </w:rPr>
        <w:t>A kísérleti csoportban jelentősen, a kontroll diákok teljesítményét is meghaladó mértékben nőtt a tanulók olvasási kiépültsége, és a</w:t>
      </w:r>
      <w:r w:rsidRPr="005A3C94">
        <w:rPr>
          <w:rFonts w:ascii="Times New Roman" w:hAnsi="Times New Roman" w:cs="Times New Roman"/>
          <w:sz w:val="24"/>
          <w:szCs w:val="24"/>
        </w:rPr>
        <w:t xml:space="preserve"> kísérleti osztályokba járó diákok </w:t>
      </w:r>
      <w:r>
        <w:rPr>
          <w:rFonts w:ascii="Times New Roman" w:hAnsi="Times New Roman" w:cs="Times New Roman"/>
          <w:sz w:val="24"/>
          <w:szCs w:val="24"/>
        </w:rPr>
        <w:t>a kontroll csoporthoz képest is javítottak helyesen megoldott matematika feladataik arányán, és nőtt matematikai magabiztosságuk.</w:t>
      </w:r>
    </w:p>
    <w:p w14:paraId="50688B2D" w14:textId="67E5E9FC" w:rsidR="00A86D08" w:rsidRPr="0035208F" w:rsidRDefault="00A86D08" w:rsidP="00A86D08">
      <w:pPr>
        <w:jc w:val="both"/>
        <w:rPr>
          <w:rFonts w:asciiTheme="majorHAnsi" w:eastAsiaTheme="majorEastAsia" w:hAnsiTheme="majorHAnsi" w:cstheme="majorBidi"/>
          <w:color w:val="1F4D78" w:themeColor="accent1" w:themeShade="7F"/>
          <w:sz w:val="24"/>
          <w:szCs w:val="24"/>
        </w:rPr>
      </w:pPr>
      <w:r w:rsidRPr="00A86D08">
        <w:rPr>
          <w:rFonts w:ascii="Times New Roman" w:hAnsi="Times New Roman" w:cs="Times New Roman"/>
          <w:sz w:val="24"/>
          <w:szCs w:val="24"/>
        </w:rPr>
        <w:t>A</w:t>
      </w:r>
      <w:r>
        <w:rPr>
          <w:rFonts w:ascii="Times New Roman" w:hAnsi="Times New Roman" w:cs="Times New Roman"/>
          <w:sz w:val="24"/>
          <w:szCs w:val="24"/>
        </w:rPr>
        <w:t xml:space="preserve"> kísérleti csoportban tapasztalható pozitív tendencia egyik forrása, hogy a jó háttérből származó diákok szignifikánsan több helyes választ adtak a kimeneti méréskor, mint a bemeneti teszt során, azonban azt látjuk, hogy a kevésbé szerencsés családi háttérrel rendelkező diákok is elkezdtek próbálkozni, ők is nagyobb önbizalommal vágtak bele a feladatokba, még ha nem is tudták őket megoldani. </w:t>
      </w:r>
    </w:p>
    <w:p w14:paraId="7530A836" w14:textId="1A0E9AA4" w:rsidR="005A3C94" w:rsidRDefault="00171A5B" w:rsidP="00171A5B">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Az intézmények szerinti bontás alapján történt vizsgálatkor azt találtuk, hogy a különböző</w:t>
      </w:r>
      <w:r w:rsidR="0035208F">
        <w:rPr>
          <w:rFonts w:ascii="Times New Roman" w:hAnsi="Times New Roman" w:cs="Times New Roman"/>
          <w:sz w:val="24"/>
          <w:szCs w:val="24"/>
        </w:rPr>
        <w:t xml:space="preserve"> szempontok szerint töb</w:t>
      </w:r>
      <w:r>
        <w:rPr>
          <w:rFonts w:ascii="Times New Roman" w:hAnsi="Times New Roman" w:cs="Times New Roman"/>
          <w:sz w:val="24"/>
          <w:szCs w:val="24"/>
        </w:rPr>
        <w:t>bségében egy irányba mozognak az eltérő</w:t>
      </w:r>
      <w:r w:rsidR="0035208F">
        <w:rPr>
          <w:rFonts w:ascii="Times New Roman" w:hAnsi="Times New Roman" w:cs="Times New Roman"/>
          <w:sz w:val="24"/>
          <w:szCs w:val="24"/>
        </w:rPr>
        <w:t xml:space="preserve"> intézményekben tanuló kísérleti diákok, </w:t>
      </w:r>
      <w:r>
        <w:rPr>
          <w:rFonts w:ascii="Times New Roman" w:hAnsi="Times New Roman" w:cs="Times New Roman"/>
          <w:sz w:val="24"/>
          <w:szCs w:val="24"/>
        </w:rPr>
        <w:t>tehát valószínűsíthető, hogy a programnak létezik</w:t>
      </w:r>
      <w:r w:rsidR="0035208F">
        <w:rPr>
          <w:rFonts w:ascii="Times New Roman" w:hAnsi="Times New Roman" w:cs="Times New Roman"/>
          <w:sz w:val="24"/>
          <w:szCs w:val="24"/>
        </w:rPr>
        <w:t xml:space="preserve"> az intézményektől függetlenül kifejtett konzisztens hatása</w:t>
      </w:r>
      <w:r>
        <w:rPr>
          <w:rFonts w:ascii="Times New Roman" w:hAnsi="Times New Roman" w:cs="Times New Roman"/>
          <w:sz w:val="24"/>
          <w:szCs w:val="24"/>
        </w:rPr>
        <w:t>, azaz a fent leírt tanulságok nem csak egy-egy specifikus tanulócsoportra érvényesek</w:t>
      </w:r>
    </w:p>
    <w:p w14:paraId="66B20AC3" w14:textId="77777777" w:rsidR="005A3C94" w:rsidRDefault="005A3C94" w:rsidP="008C67DC">
      <w:pPr>
        <w:spacing w:line="276" w:lineRule="auto"/>
        <w:jc w:val="both"/>
        <w:rPr>
          <w:rFonts w:ascii="Times New Roman" w:hAnsi="Times New Roman" w:cs="Times New Roman"/>
          <w:sz w:val="24"/>
          <w:szCs w:val="24"/>
        </w:rPr>
      </w:pPr>
    </w:p>
    <w:p w14:paraId="5753D173" w14:textId="77777777" w:rsidR="005A3C94" w:rsidRDefault="005A3C94" w:rsidP="008C67DC">
      <w:pPr>
        <w:spacing w:line="276" w:lineRule="auto"/>
        <w:jc w:val="both"/>
        <w:rPr>
          <w:rFonts w:ascii="Times New Roman" w:hAnsi="Times New Roman" w:cs="Times New Roman"/>
          <w:sz w:val="24"/>
          <w:szCs w:val="24"/>
        </w:rPr>
      </w:pPr>
    </w:p>
    <w:p w14:paraId="63AB1090" w14:textId="77777777" w:rsidR="0035208F" w:rsidRDefault="0035208F" w:rsidP="008C67DC">
      <w:pPr>
        <w:spacing w:line="276" w:lineRule="auto"/>
        <w:jc w:val="both"/>
        <w:rPr>
          <w:rFonts w:ascii="Times New Roman" w:hAnsi="Times New Roman" w:cs="Times New Roman"/>
          <w:sz w:val="24"/>
          <w:szCs w:val="24"/>
        </w:rPr>
      </w:pPr>
    </w:p>
    <w:p w14:paraId="2BACF700" w14:textId="77777777" w:rsidR="0035208F" w:rsidRDefault="0035208F" w:rsidP="008C67DC">
      <w:pPr>
        <w:spacing w:line="276" w:lineRule="auto"/>
        <w:jc w:val="both"/>
        <w:rPr>
          <w:rFonts w:ascii="Times New Roman" w:hAnsi="Times New Roman" w:cs="Times New Roman"/>
          <w:sz w:val="24"/>
          <w:szCs w:val="24"/>
        </w:rPr>
      </w:pPr>
    </w:p>
    <w:p w14:paraId="258C79DE" w14:textId="77777777" w:rsidR="0035208F" w:rsidRDefault="0035208F" w:rsidP="008C67DC">
      <w:pPr>
        <w:spacing w:line="276" w:lineRule="auto"/>
        <w:jc w:val="both"/>
        <w:rPr>
          <w:rFonts w:ascii="Times New Roman" w:hAnsi="Times New Roman" w:cs="Times New Roman"/>
          <w:sz w:val="24"/>
          <w:szCs w:val="24"/>
        </w:rPr>
      </w:pPr>
    </w:p>
    <w:p w14:paraId="4EA86E14" w14:textId="7A6626EF" w:rsidR="008770B2" w:rsidRPr="005A3C94" w:rsidRDefault="008770B2" w:rsidP="00171A5B">
      <w:pPr>
        <w:pStyle w:val="Cmsor1"/>
      </w:pPr>
      <w:r w:rsidRPr="005A3C94">
        <w:t>Irodalom</w:t>
      </w:r>
    </w:p>
    <w:p w14:paraId="76AC0C78" w14:textId="77777777" w:rsidR="008770B2" w:rsidRPr="005A3C94" w:rsidRDefault="008770B2" w:rsidP="008C67DC">
      <w:pPr>
        <w:spacing w:line="276" w:lineRule="auto"/>
        <w:jc w:val="both"/>
        <w:rPr>
          <w:rFonts w:ascii="Times New Roman" w:hAnsi="Times New Roman" w:cs="Times New Roman"/>
          <w:sz w:val="24"/>
          <w:szCs w:val="24"/>
        </w:rPr>
      </w:pPr>
      <w:proofErr w:type="spellStart"/>
      <w:r w:rsidRPr="005A3C94">
        <w:rPr>
          <w:rFonts w:ascii="Times New Roman" w:hAnsi="Times New Roman" w:cs="Times New Roman"/>
          <w:sz w:val="24"/>
          <w:szCs w:val="24"/>
        </w:rPr>
        <w:t>Ofsted</w:t>
      </w:r>
      <w:proofErr w:type="spellEnd"/>
      <w:r w:rsidRPr="005A3C94">
        <w:rPr>
          <w:rFonts w:ascii="Times New Roman" w:hAnsi="Times New Roman" w:cs="Times New Roman"/>
          <w:sz w:val="24"/>
          <w:szCs w:val="24"/>
        </w:rPr>
        <w:t xml:space="preserve"> 2006. </w:t>
      </w:r>
      <w:proofErr w:type="spellStart"/>
      <w:r w:rsidRPr="005A3C94">
        <w:rPr>
          <w:rFonts w:ascii="Times New Roman" w:hAnsi="Times New Roman" w:cs="Times New Roman"/>
          <w:sz w:val="24"/>
          <w:szCs w:val="24"/>
        </w:rPr>
        <w:t>Creative</w:t>
      </w:r>
      <w:proofErr w:type="spellEnd"/>
      <w:r w:rsidRPr="005A3C94">
        <w:rPr>
          <w:rFonts w:ascii="Times New Roman" w:hAnsi="Times New Roman" w:cs="Times New Roman"/>
          <w:sz w:val="24"/>
          <w:szCs w:val="24"/>
        </w:rPr>
        <w:t xml:space="preserve"> </w:t>
      </w:r>
      <w:proofErr w:type="spellStart"/>
      <w:r w:rsidRPr="005A3C94">
        <w:rPr>
          <w:rFonts w:ascii="Times New Roman" w:hAnsi="Times New Roman" w:cs="Times New Roman"/>
          <w:sz w:val="24"/>
          <w:szCs w:val="24"/>
        </w:rPr>
        <w:t>Partnerships</w:t>
      </w:r>
      <w:proofErr w:type="spellEnd"/>
      <w:r w:rsidRPr="005A3C94">
        <w:rPr>
          <w:rFonts w:ascii="Times New Roman" w:hAnsi="Times New Roman" w:cs="Times New Roman"/>
          <w:sz w:val="24"/>
          <w:szCs w:val="24"/>
        </w:rPr>
        <w:t xml:space="preserve">: </w:t>
      </w:r>
      <w:proofErr w:type="spellStart"/>
      <w:r w:rsidRPr="005A3C94">
        <w:rPr>
          <w:rFonts w:ascii="Times New Roman" w:hAnsi="Times New Roman" w:cs="Times New Roman"/>
          <w:sz w:val="24"/>
          <w:szCs w:val="24"/>
        </w:rPr>
        <w:t>initiative</w:t>
      </w:r>
      <w:proofErr w:type="spellEnd"/>
      <w:r w:rsidRPr="005A3C94">
        <w:rPr>
          <w:rFonts w:ascii="Times New Roman" w:hAnsi="Times New Roman" w:cs="Times New Roman"/>
          <w:sz w:val="24"/>
          <w:szCs w:val="24"/>
        </w:rPr>
        <w:t xml:space="preserve"> and </w:t>
      </w:r>
      <w:proofErr w:type="spellStart"/>
      <w:r w:rsidRPr="005A3C94">
        <w:rPr>
          <w:rFonts w:ascii="Times New Roman" w:hAnsi="Times New Roman" w:cs="Times New Roman"/>
          <w:sz w:val="24"/>
          <w:szCs w:val="24"/>
        </w:rPr>
        <w:t>impact</w:t>
      </w:r>
      <w:proofErr w:type="spellEnd"/>
      <w:r w:rsidRPr="005A3C94">
        <w:rPr>
          <w:rFonts w:ascii="Times New Roman" w:hAnsi="Times New Roman" w:cs="Times New Roman"/>
          <w:sz w:val="24"/>
          <w:szCs w:val="24"/>
        </w:rPr>
        <w:t xml:space="preserve">. The </w:t>
      </w:r>
      <w:proofErr w:type="spellStart"/>
      <w:r w:rsidRPr="005A3C94">
        <w:rPr>
          <w:rFonts w:ascii="Times New Roman" w:hAnsi="Times New Roman" w:cs="Times New Roman"/>
          <w:sz w:val="24"/>
          <w:szCs w:val="24"/>
        </w:rPr>
        <w:t>impact</w:t>
      </w:r>
      <w:proofErr w:type="spellEnd"/>
      <w:r w:rsidRPr="005A3C94">
        <w:rPr>
          <w:rFonts w:ascii="Times New Roman" w:hAnsi="Times New Roman" w:cs="Times New Roman"/>
          <w:sz w:val="24"/>
          <w:szCs w:val="24"/>
        </w:rPr>
        <w:t xml:space="preserve"> of </w:t>
      </w:r>
      <w:proofErr w:type="spellStart"/>
      <w:r w:rsidRPr="005A3C94">
        <w:rPr>
          <w:rFonts w:ascii="Times New Roman" w:hAnsi="Times New Roman" w:cs="Times New Roman"/>
          <w:sz w:val="24"/>
          <w:szCs w:val="24"/>
        </w:rPr>
        <w:t>sustained</w:t>
      </w:r>
      <w:proofErr w:type="spellEnd"/>
      <w:r w:rsidRPr="005A3C94">
        <w:rPr>
          <w:rFonts w:ascii="Times New Roman" w:hAnsi="Times New Roman" w:cs="Times New Roman"/>
          <w:sz w:val="24"/>
          <w:szCs w:val="24"/>
        </w:rPr>
        <w:t xml:space="preserve"> </w:t>
      </w:r>
      <w:proofErr w:type="spellStart"/>
      <w:r w:rsidRPr="005A3C94">
        <w:rPr>
          <w:rFonts w:ascii="Times New Roman" w:hAnsi="Times New Roman" w:cs="Times New Roman"/>
          <w:sz w:val="24"/>
          <w:szCs w:val="24"/>
        </w:rPr>
        <w:t>partnerships</w:t>
      </w:r>
      <w:proofErr w:type="spellEnd"/>
      <w:r w:rsidRPr="005A3C94">
        <w:rPr>
          <w:rFonts w:ascii="Times New Roman" w:hAnsi="Times New Roman" w:cs="Times New Roman"/>
          <w:sz w:val="24"/>
          <w:szCs w:val="24"/>
        </w:rPr>
        <w:t xml:space="preserve"> </w:t>
      </w:r>
      <w:proofErr w:type="spellStart"/>
      <w:r w:rsidRPr="005A3C94">
        <w:rPr>
          <w:rFonts w:ascii="Times New Roman" w:hAnsi="Times New Roman" w:cs="Times New Roman"/>
          <w:sz w:val="24"/>
          <w:szCs w:val="24"/>
        </w:rPr>
        <w:t>between</w:t>
      </w:r>
      <w:proofErr w:type="spellEnd"/>
      <w:r w:rsidRPr="005A3C94">
        <w:rPr>
          <w:rFonts w:ascii="Times New Roman" w:hAnsi="Times New Roman" w:cs="Times New Roman"/>
          <w:sz w:val="24"/>
          <w:szCs w:val="24"/>
        </w:rPr>
        <w:t xml:space="preserve"> </w:t>
      </w:r>
      <w:proofErr w:type="spellStart"/>
      <w:r w:rsidRPr="005A3C94">
        <w:rPr>
          <w:rFonts w:ascii="Times New Roman" w:hAnsi="Times New Roman" w:cs="Times New Roman"/>
          <w:sz w:val="24"/>
          <w:szCs w:val="24"/>
        </w:rPr>
        <w:t>schools</w:t>
      </w:r>
      <w:proofErr w:type="spellEnd"/>
      <w:r w:rsidRPr="005A3C94">
        <w:rPr>
          <w:rFonts w:ascii="Times New Roman" w:hAnsi="Times New Roman" w:cs="Times New Roman"/>
          <w:sz w:val="24"/>
          <w:szCs w:val="24"/>
        </w:rPr>
        <w:t xml:space="preserve"> and </w:t>
      </w:r>
      <w:proofErr w:type="spellStart"/>
      <w:r w:rsidRPr="005A3C94">
        <w:rPr>
          <w:rFonts w:ascii="Times New Roman" w:hAnsi="Times New Roman" w:cs="Times New Roman"/>
          <w:sz w:val="24"/>
          <w:szCs w:val="24"/>
        </w:rPr>
        <w:t>creative</w:t>
      </w:r>
      <w:proofErr w:type="spellEnd"/>
      <w:r w:rsidRPr="005A3C94">
        <w:rPr>
          <w:rFonts w:ascii="Times New Roman" w:hAnsi="Times New Roman" w:cs="Times New Roman"/>
          <w:sz w:val="24"/>
          <w:szCs w:val="24"/>
        </w:rPr>
        <w:t xml:space="preserve"> </w:t>
      </w:r>
      <w:proofErr w:type="spellStart"/>
      <w:r w:rsidRPr="005A3C94">
        <w:rPr>
          <w:rFonts w:ascii="Times New Roman" w:hAnsi="Times New Roman" w:cs="Times New Roman"/>
          <w:sz w:val="24"/>
          <w:szCs w:val="24"/>
        </w:rPr>
        <w:t>practitioners</w:t>
      </w:r>
      <w:proofErr w:type="spellEnd"/>
      <w:r w:rsidRPr="005A3C94">
        <w:rPr>
          <w:rFonts w:ascii="Times New Roman" w:hAnsi="Times New Roman" w:cs="Times New Roman"/>
          <w:sz w:val="24"/>
          <w:szCs w:val="24"/>
        </w:rPr>
        <w:t xml:space="preserve"> </w:t>
      </w:r>
      <w:proofErr w:type="spellStart"/>
      <w:r w:rsidRPr="005A3C94">
        <w:rPr>
          <w:rFonts w:ascii="Times New Roman" w:hAnsi="Times New Roman" w:cs="Times New Roman"/>
          <w:sz w:val="24"/>
          <w:szCs w:val="24"/>
        </w:rPr>
        <w:t>as</w:t>
      </w:r>
      <w:proofErr w:type="spellEnd"/>
      <w:r w:rsidRPr="005A3C94">
        <w:rPr>
          <w:rFonts w:ascii="Times New Roman" w:hAnsi="Times New Roman" w:cs="Times New Roman"/>
          <w:sz w:val="24"/>
          <w:szCs w:val="24"/>
        </w:rPr>
        <w:t xml:space="preserve"> a </w:t>
      </w:r>
      <w:proofErr w:type="spellStart"/>
      <w:r w:rsidRPr="005A3C94">
        <w:rPr>
          <w:rFonts w:ascii="Times New Roman" w:hAnsi="Times New Roman" w:cs="Times New Roman"/>
          <w:sz w:val="24"/>
          <w:szCs w:val="24"/>
        </w:rPr>
        <w:t>result</w:t>
      </w:r>
      <w:proofErr w:type="spellEnd"/>
      <w:r w:rsidRPr="005A3C94">
        <w:rPr>
          <w:rFonts w:ascii="Times New Roman" w:hAnsi="Times New Roman" w:cs="Times New Roman"/>
          <w:sz w:val="24"/>
          <w:szCs w:val="24"/>
        </w:rPr>
        <w:t xml:space="preserve"> of </w:t>
      </w:r>
      <w:proofErr w:type="spellStart"/>
      <w:r w:rsidRPr="005A3C94">
        <w:rPr>
          <w:rFonts w:ascii="Times New Roman" w:hAnsi="Times New Roman" w:cs="Times New Roman"/>
          <w:sz w:val="24"/>
          <w:szCs w:val="24"/>
        </w:rPr>
        <w:t>Creative</w:t>
      </w:r>
      <w:proofErr w:type="spellEnd"/>
      <w:r w:rsidRPr="005A3C94">
        <w:rPr>
          <w:rFonts w:ascii="Times New Roman" w:hAnsi="Times New Roman" w:cs="Times New Roman"/>
          <w:sz w:val="24"/>
          <w:szCs w:val="24"/>
        </w:rPr>
        <w:t xml:space="preserve"> </w:t>
      </w:r>
      <w:proofErr w:type="spellStart"/>
      <w:r w:rsidRPr="005A3C94">
        <w:rPr>
          <w:rFonts w:ascii="Times New Roman" w:hAnsi="Times New Roman" w:cs="Times New Roman"/>
          <w:sz w:val="24"/>
          <w:szCs w:val="24"/>
        </w:rPr>
        <w:t>Partnerships</w:t>
      </w:r>
      <w:proofErr w:type="spellEnd"/>
      <w:r w:rsidRPr="005A3C94">
        <w:rPr>
          <w:rFonts w:ascii="Times New Roman" w:hAnsi="Times New Roman" w:cs="Times New Roman"/>
          <w:sz w:val="24"/>
          <w:szCs w:val="24"/>
        </w:rPr>
        <w:t xml:space="preserve"> </w:t>
      </w:r>
      <w:proofErr w:type="spellStart"/>
      <w:r w:rsidRPr="005A3C94">
        <w:rPr>
          <w:rFonts w:ascii="Times New Roman" w:hAnsi="Times New Roman" w:cs="Times New Roman"/>
          <w:sz w:val="24"/>
          <w:szCs w:val="24"/>
        </w:rPr>
        <w:t>initiatives</w:t>
      </w:r>
      <w:proofErr w:type="spellEnd"/>
      <w:r w:rsidRPr="005A3C94">
        <w:rPr>
          <w:rFonts w:ascii="Times New Roman" w:hAnsi="Times New Roman" w:cs="Times New Roman"/>
          <w:sz w:val="24"/>
          <w:szCs w:val="24"/>
        </w:rPr>
        <w:t xml:space="preserve">. London. Letölthető: </w:t>
      </w:r>
      <w:hyperlink r:id="rId39" w:history="1">
        <w:r w:rsidRPr="005A3C94">
          <w:rPr>
            <w:rFonts w:ascii="Times New Roman" w:hAnsi="Times New Roman" w:cs="Times New Roman"/>
            <w:sz w:val="24"/>
            <w:szCs w:val="24"/>
          </w:rPr>
          <w:t>http://www.creativitycultureeducation.org/wp-content/uploads/ofsted-creative-partnerships-report-15-15.pdf.</w:t>
        </w:r>
      </w:hyperlink>
      <w:r w:rsidRPr="005A3C94">
        <w:rPr>
          <w:rFonts w:ascii="Times New Roman" w:hAnsi="Times New Roman" w:cs="Times New Roman"/>
          <w:sz w:val="24"/>
          <w:szCs w:val="24"/>
        </w:rPr>
        <w:t xml:space="preserve"> (Utolsó letöltés, 2015.02.01.)</w:t>
      </w:r>
    </w:p>
    <w:p w14:paraId="2E93C3DE" w14:textId="3ED48517" w:rsidR="008770B2" w:rsidRPr="00356747" w:rsidRDefault="00356747" w:rsidP="008C67DC">
      <w:pPr>
        <w:spacing w:line="276" w:lineRule="auto"/>
        <w:jc w:val="both"/>
        <w:rPr>
          <w:rFonts w:ascii="Times New Roman" w:hAnsi="Times New Roman" w:cs="Times New Roman"/>
          <w:sz w:val="24"/>
          <w:szCs w:val="24"/>
        </w:rPr>
      </w:pPr>
      <w:r w:rsidRPr="00356747">
        <w:rPr>
          <w:rFonts w:ascii="Times New Roman" w:hAnsi="Times New Roman" w:cs="Times New Roman"/>
          <w:sz w:val="24"/>
          <w:szCs w:val="24"/>
        </w:rPr>
        <w:t>Oktatási Hivatal (2012): OKM 2012 Országos Jelentés a 4. évfolyamos Országos Készség- és Képességmérés Eredményeiről</w:t>
      </w:r>
    </w:p>
    <w:sectPr w:rsidR="008770B2" w:rsidRPr="00356747" w:rsidSect="00A54A7D">
      <w:footerReference w:type="default" r:id="rId4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88720" w14:textId="77777777" w:rsidR="00205757" w:rsidRDefault="00205757" w:rsidP="00FB0E35">
      <w:pPr>
        <w:spacing w:after="0" w:line="240" w:lineRule="auto"/>
      </w:pPr>
      <w:r>
        <w:separator/>
      </w:r>
    </w:p>
  </w:endnote>
  <w:endnote w:type="continuationSeparator" w:id="0">
    <w:p w14:paraId="411EB1F9" w14:textId="77777777" w:rsidR="00205757" w:rsidRDefault="00205757" w:rsidP="00FB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045461"/>
      <w:docPartObj>
        <w:docPartGallery w:val="Page Numbers (Bottom of Page)"/>
        <w:docPartUnique/>
      </w:docPartObj>
    </w:sdtPr>
    <w:sdtEndPr/>
    <w:sdtContent>
      <w:p w14:paraId="0763A9E3" w14:textId="77777777" w:rsidR="00931708" w:rsidRDefault="00931708">
        <w:pPr>
          <w:pStyle w:val="llb"/>
          <w:jc w:val="right"/>
        </w:pPr>
        <w:r>
          <w:fldChar w:fldCharType="begin"/>
        </w:r>
        <w:r>
          <w:instrText>PAGE   \* MERGEFORMAT</w:instrText>
        </w:r>
        <w:r>
          <w:fldChar w:fldCharType="separate"/>
        </w:r>
        <w:r w:rsidR="00DF1D13">
          <w:rPr>
            <w:noProof/>
          </w:rPr>
          <w:t>10</w:t>
        </w:r>
        <w:r>
          <w:fldChar w:fldCharType="end"/>
        </w:r>
      </w:p>
    </w:sdtContent>
  </w:sdt>
  <w:p w14:paraId="15792E07" w14:textId="77777777" w:rsidR="00931708" w:rsidRDefault="009317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BF0B8" w14:textId="77777777" w:rsidR="00205757" w:rsidRDefault="00205757" w:rsidP="00FB0E35">
      <w:pPr>
        <w:spacing w:after="0" w:line="240" w:lineRule="auto"/>
      </w:pPr>
      <w:r>
        <w:separator/>
      </w:r>
    </w:p>
  </w:footnote>
  <w:footnote w:type="continuationSeparator" w:id="0">
    <w:p w14:paraId="18107603" w14:textId="77777777" w:rsidR="00205757" w:rsidRDefault="00205757" w:rsidP="00FB0E35">
      <w:pPr>
        <w:spacing w:after="0" w:line="240" w:lineRule="auto"/>
      </w:pPr>
      <w:r>
        <w:continuationSeparator/>
      </w:r>
    </w:p>
  </w:footnote>
  <w:footnote w:id="1">
    <w:p w14:paraId="46485F0A" w14:textId="32E08D91" w:rsidR="00931708" w:rsidRPr="008C67DC" w:rsidRDefault="00931708" w:rsidP="008C67DC">
      <w:pPr>
        <w:pStyle w:val="Lbjegyzetszveg"/>
        <w:rPr>
          <w:rFonts w:ascii="Times New Roman" w:hAnsi="Times New Roman" w:cs="Times New Roman"/>
          <w:lang w:val="en-GB"/>
        </w:rPr>
      </w:pPr>
      <w:r w:rsidRPr="008C67DC">
        <w:rPr>
          <w:rStyle w:val="Lbjegyzet-hivatkozs"/>
          <w:rFonts w:ascii="Times New Roman" w:hAnsi="Times New Roman" w:cs="Times New Roman"/>
          <w:lang w:val="en-GB"/>
        </w:rPr>
        <w:footnoteRef/>
      </w:r>
      <w:r w:rsidRPr="008C67DC">
        <w:rPr>
          <w:rFonts w:ascii="Times New Roman" w:hAnsi="Times New Roman" w:cs="Times New Roman"/>
          <w:lang w:val="en-GB"/>
        </w:rPr>
        <w:t xml:space="preserve">McLellan, R., Galton, M., Steward, S. and Page, C. (2012). The Impact of Creative Partnerships on the Wellbeing of Children and Young People. Newcastle: CCE, </w:t>
      </w:r>
      <w:hyperlink r:id="rId1" w:history="1">
        <w:r w:rsidRPr="008C67DC">
          <w:rPr>
            <w:rStyle w:val="Hiperhivatkozs"/>
            <w:rFonts w:ascii="Times New Roman" w:hAnsi="Times New Roman" w:cs="Times New Roman"/>
            <w:lang w:val="en-GB"/>
          </w:rPr>
          <w:t>http://www.creativitycultureeducation.org/the-impact-of-creative-partnerships-on-the-wellbeing-of-children-and-young-people</w:t>
        </w:r>
      </w:hyperlink>
    </w:p>
  </w:footnote>
  <w:footnote w:id="2">
    <w:p w14:paraId="6172E29D" w14:textId="6BA3C652" w:rsidR="00931708" w:rsidRPr="008C67DC" w:rsidRDefault="00931708" w:rsidP="008C67DC">
      <w:pPr>
        <w:pStyle w:val="Lbjegyzetszveg"/>
        <w:rPr>
          <w:lang w:val="en-GB"/>
        </w:rPr>
      </w:pPr>
      <w:r w:rsidRPr="008C67DC">
        <w:rPr>
          <w:rStyle w:val="Lbjegyzet-hivatkozs"/>
          <w:rFonts w:ascii="Times New Roman" w:hAnsi="Times New Roman" w:cs="Times New Roman"/>
          <w:lang w:val="en-GB"/>
        </w:rPr>
        <w:footnoteRef/>
      </w:r>
      <w:r w:rsidRPr="008C67DC">
        <w:rPr>
          <w:rFonts w:ascii="Times New Roman" w:hAnsi="Times New Roman" w:cs="Times New Roman"/>
          <w:lang w:val="en-GB"/>
        </w:rPr>
        <w:t xml:space="preserve">Thomson, P., Hall, C., Jones, K. and Sefton-Green, J. (2012). The Signature Pedagogies Project: Final Report. Newcastle: CCE, </w:t>
      </w:r>
      <w:hyperlink r:id="rId2" w:history="1">
        <w:r w:rsidRPr="008C67DC">
          <w:rPr>
            <w:rStyle w:val="Hiperhivatkozs"/>
            <w:rFonts w:ascii="Times New Roman" w:hAnsi="Times New Roman" w:cs="Times New Roman"/>
            <w:lang w:val="en-GB"/>
          </w:rPr>
          <w:t>http://www.creativitycultureeducation.org/the-signature-pedagogies-project</w:t>
        </w:r>
      </w:hyperlink>
    </w:p>
  </w:footnote>
  <w:footnote w:id="3">
    <w:p w14:paraId="4C82E090" w14:textId="08CFD05D" w:rsidR="00931708" w:rsidRPr="00590C69" w:rsidRDefault="00931708">
      <w:pPr>
        <w:pStyle w:val="Lbjegyzetszveg"/>
        <w:rPr>
          <w:rFonts w:ascii="Times New Roman" w:hAnsi="Times New Roman" w:cs="Times New Roman"/>
        </w:rPr>
      </w:pPr>
      <w:r w:rsidRPr="00590C69">
        <w:rPr>
          <w:rStyle w:val="Lbjegyzet-hivatkozs"/>
          <w:rFonts w:ascii="Times New Roman" w:hAnsi="Times New Roman" w:cs="Times New Roman"/>
        </w:rPr>
        <w:footnoteRef/>
      </w:r>
      <w:r w:rsidRPr="00590C69">
        <w:rPr>
          <w:rFonts w:ascii="Times New Roman" w:hAnsi="Times New Roman" w:cs="Times New Roman"/>
        </w:rPr>
        <w:t xml:space="preserve"> </w:t>
      </w:r>
      <w:proofErr w:type="spellStart"/>
      <w:r w:rsidRPr="00590C69">
        <w:rPr>
          <w:rFonts w:ascii="Times New Roman" w:eastAsia="Times New Roman" w:hAnsi="Times New Roman" w:cs="Times New Roman"/>
          <w:iCs/>
          <w:lang w:eastAsia="en-GB"/>
        </w:rPr>
        <w:t>Ros</w:t>
      </w:r>
      <w:proofErr w:type="spellEnd"/>
      <w:r w:rsidRPr="00590C69">
        <w:rPr>
          <w:rFonts w:ascii="Times New Roman" w:eastAsia="Times New Roman" w:hAnsi="Times New Roman" w:cs="Times New Roman"/>
          <w:iCs/>
          <w:lang w:eastAsia="en-GB"/>
        </w:rPr>
        <w:t xml:space="preserve"> </w:t>
      </w:r>
      <w:proofErr w:type="spellStart"/>
      <w:r w:rsidRPr="00590C69">
        <w:rPr>
          <w:rFonts w:ascii="Times New Roman" w:eastAsia="Times New Roman" w:hAnsi="Times New Roman" w:cs="Times New Roman"/>
          <w:iCs/>
          <w:lang w:eastAsia="en-GB"/>
        </w:rPr>
        <w:t>McLellan</w:t>
      </w:r>
      <w:proofErr w:type="spellEnd"/>
      <w:r w:rsidRPr="00590C69">
        <w:rPr>
          <w:rFonts w:ascii="Times New Roman" w:eastAsia="Times New Roman" w:hAnsi="Times New Roman" w:cs="Times New Roman"/>
          <w:iCs/>
          <w:lang w:eastAsia="en-GB"/>
        </w:rPr>
        <w:t xml:space="preserve">, Maurice Galton, </w:t>
      </w:r>
      <w:proofErr w:type="spellStart"/>
      <w:r w:rsidRPr="00590C69">
        <w:rPr>
          <w:rFonts w:ascii="Times New Roman" w:eastAsia="Times New Roman" w:hAnsi="Times New Roman" w:cs="Times New Roman"/>
          <w:iCs/>
          <w:lang w:eastAsia="en-GB"/>
        </w:rPr>
        <w:t>Susan</w:t>
      </w:r>
      <w:proofErr w:type="spellEnd"/>
      <w:r w:rsidRPr="00590C69">
        <w:rPr>
          <w:rFonts w:ascii="Times New Roman" w:eastAsia="Times New Roman" w:hAnsi="Times New Roman" w:cs="Times New Roman"/>
          <w:iCs/>
          <w:lang w:eastAsia="en-GB"/>
        </w:rPr>
        <w:t xml:space="preserve"> Steward és Charlotte </w:t>
      </w:r>
      <w:proofErr w:type="spellStart"/>
      <w:r w:rsidRPr="00590C69">
        <w:rPr>
          <w:rFonts w:ascii="Times New Roman" w:eastAsia="Times New Roman" w:hAnsi="Times New Roman" w:cs="Times New Roman"/>
          <w:iCs/>
          <w:lang w:eastAsia="en-GB"/>
        </w:rPr>
        <w:t>Page</w:t>
      </w:r>
      <w:proofErr w:type="spellEnd"/>
      <w:r w:rsidRPr="00590C69">
        <w:rPr>
          <w:rFonts w:ascii="Times New Roman" w:eastAsia="Times New Roman" w:hAnsi="Times New Roman" w:cs="Times New Roman"/>
          <w:iCs/>
          <w:lang w:eastAsia="en-GB"/>
        </w:rPr>
        <w:t xml:space="preserve">: </w:t>
      </w:r>
      <w:r w:rsidRPr="00590C69">
        <w:rPr>
          <w:rFonts w:ascii="Times New Roman" w:eastAsia="Times New Roman" w:hAnsi="Times New Roman" w:cs="Times New Roman"/>
          <w:i/>
          <w:lang w:eastAsia="en-GB"/>
        </w:rPr>
        <w:t xml:space="preserve">The </w:t>
      </w:r>
      <w:proofErr w:type="spellStart"/>
      <w:r w:rsidRPr="00590C69">
        <w:rPr>
          <w:rFonts w:ascii="Times New Roman" w:eastAsia="Times New Roman" w:hAnsi="Times New Roman" w:cs="Times New Roman"/>
          <w:i/>
          <w:lang w:eastAsia="en-GB"/>
        </w:rPr>
        <w:t>Impact</w:t>
      </w:r>
      <w:proofErr w:type="spellEnd"/>
      <w:r w:rsidRPr="00590C69">
        <w:rPr>
          <w:rFonts w:ascii="Times New Roman" w:eastAsia="Times New Roman" w:hAnsi="Times New Roman" w:cs="Times New Roman"/>
          <w:i/>
          <w:lang w:eastAsia="en-GB"/>
        </w:rPr>
        <w:t xml:space="preserve"> of </w:t>
      </w:r>
      <w:proofErr w:type="spellStart"/>
      <w:r w:rsidRPr="00590C69">
        <w:rPr>
          <w:rFonts w:ascii="Times New Roman" w:eastAsia="Times New Roman" w:hAnsi="Times New Roman" w:cs="Times New Roman"/>
          <w:i/>
          <w:lang w:eastAsia="en-GB"/>
        </w:rPr>
        <w:t>Creative</w:t>
      </w:r>
      <w:proofErr w:type="spellEnd"/>
      <w:r w:rsidRPr="00590C69">
        <w:rPr>
          <w:rFonts w:ascii="Times New Roman" w:eastAsia="Times New Roman" w:hAnsi="Times New Roman" w:cs="Times New Roman"/>
          <w:i/>
          <w:lang w:eastAsia="en-GB"/>
        </w:rPr>
        <w:t xml:space="preserve"> </w:t>
      </w:r>
      <w:proofErr w:type="spellStart"/>
      <w:r w:rsidRPr="00590C69">
        <w:rPr>
          <w:rFonts w:ascii="Times New Roman" w:eastAsia="Times New Roman" w:hAnsi="Times New Roman" w:cs="Times New Roman"/>
          <w:i/>
          <w:lang w:eastAsia="en-GB"/>
        </w:rPr>
        <w:t>Partnerships</w:t>
      </w:r>
      <w:proofErr w:type="spellEnd"/>
      <w:r w:rsidRPr="00590C69">
        <w:rPr>
          <w:rFonts w:ascii="Times New Roman" w:eastAsia="Times New Roman" w:hAnsi="Times New Roman" w:cs="Times New Roman"/>
          <w:i/>
          <w:lang w:eastAsia="en-GB"/>
        </w:rPr>
        <w:t xml:space="preserve"> </w:t>
      </w:r>
      <w:proofErr w:type="spellStart"/>
      <w:r w:rsidRPr="00590C69">
        <w:rPr>
          <w:rFonts w:ascii="Times New Roman" w:eastAsia="Times New Roman" w:hAnsi="Times New Roman" w:cs="Times New Roman"/>
          <w:i/>
          <w:lang w:eastAsia="en-GB"/>
        </w:rPr>
        <w:t>on</w:t>
      </w:r>
      <w:proofErr w:type="spellEnd"/>
      <w:r w:rsidRPr="00590C69">
        <w:rPr>
          <w:rFonts w:ascii="Times New Roman" w:eastAsia="Times New Roman" w:hAnsi="Times New Roman" w:cs="Times New Roman"/>
          <w:i/>
          <w:lang w:eastAsia="en-GB"/>
        </w:rPr>
        <w:t xml:space="preserve"> </w:t>
      </w:r>
      <w:proofErr w:type="spellStart"/>
      <w:r w:rsidRPr="00590C69">
        <w:rPr>
          <w:rFonts w:ascii="Times New Roman" w:eastAsia="Times New Roman" w:hAnsi="Times New Roman" w:cs="Times New Roman"/>
          <w:i/>
          <w:lang w:eastAsia="en-GB"/>
        </w:rPr>
        <w:t>the</w:t>
      </w:r>
      <w:proofErr w:type="spellEnd"/>
      <w:r w:rsidRPr="00590C69">
        <w:rPr>
          <w:rFonts w:ascii="Times New Roman" w:eastAsia="Times New Roman" w:hAnsi="Times New Roman" w:cs="Times New Roman"/>
          <w:i/>
          <w:lang w:eastAsia="en-GB"/>
        </w:rPr>
        <w:t xml:space="preserve"> </w:t>
      </w:r>
      <w:proofErr w:type="spellStart"/>
      <w:r w:rsidRPr="00590C69">
        <w:rPr>
          <w:rFonts w:ascii="Times New Roman" w:eastAsia="Times New Roman" w:hAnsi="Times New Roman" w:cs="Times New Roman"/>
          <w:i/>
          <w:lang w:eastAsia="en-GB"/>
        </w:rPr>
        <w:t>Well-Being</w:t>
      </w:r>
      <w:proofErr w:type="spellEnd"/>
      <w:r w:rsidRPr="00590C69">
        <w:rPr>
          <w:rFonts w:ascii="Times New Roman" w:eastAsia="Times New Roman" w:hAnsi="Times New Roman" w:cs="Times New Roman"/>
          <w:i/>
          <w:lang w:eastAsia="en-GB"/>
        </w:rPr>
        <w:t xml:space="preserve"> of </w:t>
      </w:r>
      <w:proofErr w:type="spellStart"/>
      <w:r w:rsidRPr="00590C69">
        <w:rPr>
          <w:rFonts w:ascii="Times New Roman" w:eastAsia="Times New Roman" w:hAnsi="Times New Roman" w:cs="Times New Roman"/>
          <w:i/>
          <w:lang w:eastAsia="en-GB"/>
        </w:rPr>
        <w:t>Children</w:t>
      </w:r>
      <w:proofErr w:type="spellEnd"/>
      <w:r w:rsidRPr="00590C69">
        <w:rPr>
          <w:rFonts w:ascii="Times New Roman" w:eastAsia="Times New Roman" w:hAnsi="Times New Roman" w:cs="Times New Roman"/>
          <w:i/>
          <w:lang w:eastAsia="en-GB"/>
        </w:rPr>
        <w:t xml:space="preserve"> and Young </w:t>
      </w:r>
      <w:proofErr w:type="spellStart"/>
      <w:r w:rsidRPr="00590C69">
        <w:rPr>
          <w:rFonts w:ascii="Times New Roman" w:eastAsia="Times New Roman" w:hAnsi="Times New Roman" w:cs="Times New Roman"/>
          <w:i/>
          <w:lang w:eastAsia="en-GB"/>
        </w:rPr>
        <w:t>People</w:t>
      </w:r>
      <w:proofErr w:type="spellEnd"/>
      <w:r w:rsidRPr="00590C69">
        <w:rPr>
          <w:rFonts w:ascii="Times New Roman" w:eastAsia="Times New Roman" w:hAnsi="Times New Roman" w:cs="Times New Roman"/>
          <w:lang w:eastAsia="en-GB"/>
        </w:rPr>
        <w:t xml:space="preserve"> </w:t>
      </w:r>
      <w:r w:rsidRPr="00590C69">
        <w:rPr>
          <w:rFonts w:ascii="Times New Roman" w:eastAsia="Times New Roman" w:hAnsi="Times New Roman" w:cs="Times New Roman"/>
          <w:iCs/>
          <w:lang w:eastAsia="en-GB"/>
        </w:rPr>
        <w:t xml:space="preserve">(2012). </w:t>
      </w:r>
      <w:hyperlink r:id="rId3" w:history="1">
        <w:r w:rsidRPr="00590C69">
          <w:rPr>
            <w:rStyle w:val="Hiperhivatkozs"/>
            <w:rFonts w:ascii="Times New Roman" w:eastAsia="Times New Roman" w:hAnsi="Times New Roman" w:cs="Times New Roman"/>
            <w:iCs/>
            <w:lang w:eastAsia="en-GB"/>
          </w:rPr>
          <w:t>www.ccengland.org/reports</w:t>
        </w:r>
      </w:hyperlink>
      <w:r w:rsidRPr="00590C69">
        <w:rPr>
          <w:rFonts w:ascii="Times New Roman" w:eastAsia="Times New Roman" w:hAnsi="Times New Roman" w:cs="Times New Roman"/>
          <w:iCs/>
          <w:lang w:eastAsia="en-GB"/>
        </w:rPr>
        <w:t xml:space="preserve"> </w:t>
      </w:r>
    </w:p>
  </w:footnote>
  <w:footnote w:id="4">
    <w:p w14:paraId="2730B629" w14:textId="1F4405FC" w:rsidR="00931708" w:rsidRDefault="00931708">
      <w:pPr>
        <w:pStyle w:val="Lbjegyzetszveg"/>
      </w:pPr>
      <w:r>
        <w:rPr>
          <w:rStyle w:val="Lbjegyzet-hivatkozs"/>
        </w:rPr>
        <w:footnoteRef/>
      </w:r>
      <w:r>
        <w:t xml:space="preserve"> </w:t>
      </w:r>
      <w:hyperlink r:id="rId4" w:history="1">
        <w:r w:rsidRPr="007142A8">
          <w:rPr>
            <w:rStyle w:val="Hiperhivatkozs"/>
          </w:rPr>
          <w:t>www.ccengland.org</w:t>
        </w:r>
      </w:hyperlink>
      <w:r>
        <w:t xml:space="preserve"> </w:t>
      </w:r>
    </w:p>
  </w:footnote>
  <w:footnote w:id="5">
    <w:p w14:paraId="1EB34E71" w14:textId="68EF02AF" w:rsidR="00931708" w:rsidRPr="001A2306" w:rsidRDefault="00931708" w:rsidP="001A2306">
      <w:pPr>
        <w:pStyle w:val="Lbjegyzetszveg"/>
        <w:jc w:val="both"/>
        <w:rPr>
          <w:rFonts w:ascii="Times New Roman" w:hAnsi="Times New Roman" w:cs="Times New Roman"/>
        </w:rPr>
      </w:pPr>
      <w:r w:rsidRPr="001A2306">
        <w:rPr>
          <w:rStyle w:val="Lbjegyzet-hivatkozs"/>
          <w:rFonts w:ascii="Times New Roman" w:hAnsi="Times New Roman" w:cs="Times New Roman"/>
        </w:rPr>
        <w:footnoteRef/>
      </w:r>
      <w:r w:rsidRPr="001A2306">
        <w:rPr>
          <w:rFonts w:ascii="Times New Roman" w:hAnsi="Times New Roman" w:cs="Times New Roman"/>
        </w:rPr>
        <w:t xml:space="preserve"> Az első kísérleti program értékelése főként az eredeti kreatív Partnerség program belső értékelési mechanizmusát </w:t>
      </w:r>
      <w:bookmarkStart w:id="4" w:name="_GoBack"/>
      <w:bookmarkEnd w:id="4"/>
      <w:r w:rsidRPr="001A2306">
        <w:rPr>
          <w:rFonts w:ascii="Times New Roman" w:hAnsi="Times New Roman" w:cs="Times New Roman"/>
        </w:rPr>
        <w:t xml:space="preserve">követte. Ennek </w:t>
      </w:r>
      <w:proofErr w:type="gramStart"/>
      <w:r w:rsidRPr="001A2306">
        <w:rPr>
          <w:rFonts w:ascii="Times New Roman" w:hAnsi="Times New Roman" w:cs="Times New Roman"/>
        </w:rPr>
        <w:t>során</w:t>
      </w:r>
      <w:proofErr w:type="gramEnd"/>
      <w:r w:rsidRPr="001A2306">
        <w:rPr>
          <w:rFonts w:ascii="Times New Roman" w:hAnsi="Times New Roman" w:cs="Times New Roman"/>
        </w:rPr>
        <w:t xml:space="preserve"> a program elején ún. tervezési dokumentumot készítettek a kreatív szakemberek, amely összevethetővé vált a program végén általuk kitöltött ún. lezáró dokumentum (</w:t>
      </w:r>
      <w:proofErr w:type="spellStart"/>
      <w:r w:rsidRPr="001A2306">
        <w:rPr>
          <w:rFonts w:ascii="Times New Roman" w:hAnsi="Times New Roman" w:cs="Times New Roman"/>
        </w:rPr>
        <w:t>complition</w:t>
      </w:r>
      <w:proofErr w:type="spellEnd"/>
      <w:r w:rsidRPr="001A2306">
        <w:rPr>
          <w:rFonts w:ascii="Times New Roman" w:hAnsi="Times New Roman" w:cs="Times New Roman"/>
        </w:rPr>
        <w:t xml:space="preserve"> </w:t>
      </w:r>
      <w:proofErr w:type="spellStart"/>
      <w:r w:rsidRPr="001A2306">
        <w:rPr>
          <w:rFonts w:ascii="Times New Roman" w:hAnsi="Times New Roman" w:cs="Times New Roman"/>
        </w:rPr>
        <w:t>form</w:t>
      </w:r>
      <w:proofErr w:type="spellEnd"/>
      <w:r w:rsidRPr="001A2306">
        <w:rPr>
          <w:rFonts w:ascii="Times New Roman" w:hAnsi="Times New Roman" w:cs="Times New Roman"/>
        </w:rPr>
        <w:t xml:space="preserve">) adataival és a benne foglalt információkkal. Ezen kívül, a program záró szakaszában kvalitatív vizsgálat történt minden egyes helyszínen, amely foglalkozás-megfigyelésekből, részben strukturált intézményvezetői interjúkból, strukturált tanár és művész interjúkból és tanulói fókuszcsoportos beszélgetésekből állt. </w:t>
      </w:r>
      <w:r>
        <w:rPr>
          <w:rFonts w:ascii="Times New Roman" w:hAnsi="Times New Roman" w:cs="Times New Roman"/>
        </w:rPr>
        <w:t xml:space="preserve">(A kvalitatív vizsgálat az angol </w:t>
      </w:r>
      <w:proofErr w:type="spellStart"/>
      <w:r>
        <w:rPr>
          <w:rFonts w:ascii="Times New Roman" w:hAnsi="Times New Roman" w:cs="Times New Roman"/>
        </w:rPr>
        <w:t>Creativity</w:t>
      </w:r>
      <w:proofErr w:type="spellEnd"/>
      <w:r>
        <w:rPr>
          <w:rFonts w:ascii="Times New Roman" w:hAnsi="Times New Roman" w:cs="Times New Roman"/>
        </w:rPr>
        <w:t xml:space="preserve"> </w:t>
      </w:r>
      <w:proofErr w:type="spellStart"/>
      <w:r>
        <w:rPr>
          <w:rFonts w:ascii="Times New Roman" w:hAnsi="Times New Roman" w:cs="Times New Roman"/>
        </w:rPr>
        <w:t>Culture</w:t>
      </w:r>
      <w:proofErr w:type="spellEnd"/>
      <w:r>
        <w:rPr>
          <w:rFonts w:ascii="Times New Roman" w:hAnsi="Times New Roman" w:cs="Times New Roman"/>
        </w:rPr>
        <w:t xml:space="preserve"> and Education szervezet és a </w:t>
      </w:r>
      <w:proofErr w:type="spellStart"/>
      <w:r>
        <w:rPr>
          <w:rFonts w:ascii="Times New Roman" w:hAnsi="Times New Roman" w:cs="Times New Roman"/>
        </w:rPr>
        <w:t>T-Tudok</w:t>
      </w:r>
      <w:proofErr w:type="spellEnd"/>
      <w:r>
        <w:rPr>
          <w:rFonts w:ascii="Times New Roman" w:hAnsi="Times New Roman" w:cs="Times New Roman"/>
        </w:rPr>
        <w:t xml:space="preserve"> együttműködésében valósult meg.) </w:t>
      </w:r>
      <w:r w:rsidRPr="001A2306">
        <w:rPr>
          <w:rFonts w:ascii="Times New Roman" w:hAnsi="Times New Roman" w:cs="Times New Roman"/>
        </w:rPr>
        <w:t>Kiegészítve ezt a belső gyakorlatot</w:t>
      </w:r>
      <w:r>
        <w:rPr>
          <w:rFonts w:ascii="Times New Roman" w:hAnsi="Times New Roman" w:cs="Times New Roman"/>
        </w:rPr>
        <w:t>,</w:t>
      </w:r>
      <w:r w:rsidRPr="001A2306">
        <w:rPr>
          <w:rFonts w:ascii="Times New Roman" w:hAnsi="Times New Roman" w:cs="Times New Roman"/>
        </w:rPr>
        <w:t xml:space="preserve"> a </w:t>
      </w:r>
      <w:proofErr w:type="spellStart"/>
      <w:r w:rsidRPr="001A2306">
        <w:rPr>
          <w:rFonts w:ascii="Times New Roman" w:hAnsi="Times New Roman" w:cs="Times New Roman"/>
        </w:rPr>
        <w:t>T-Tudok</w:t>
      </w:r>
      <w:proofErr w:type="spellEnd"/>
      <w:r w:rsidRPr="001A2306">
        <w:rPr>
          <w:rFonts w:ascii="Times New Roman" w:hAnsi="Times New Roman" w:cs="Times New Roman"/>
        </w:rPr>
        <w:t>, építve az O</w:t>
      </w:r>
      <w:r>
        <w:rPr>
          <w:rFonts w:ascii="Times New Roman" w:hAnsi="Times New Roman" w:cs="Times New Roman"/>
        </w:rPr>
        <w:t xml:space="preserve">ktatáskutató és Fejlesztő </w:t>
      </w:r>
      <w:r w:rsidRPr="001A2306">
        <w:rPr>
          <w:rFonts w:ascii="Times New Roman" w:hAnsi="Times New Roman" w:cs="Times New Roman"/>
        </w:rPr>
        <w:t>I</w:t>
      </w:r>
      <w:r>
        <w:rPr>
          <w:rFonts w:ascii="Times New Roman" w:hAnsi="Times New Roman" w:cs="Times New Roman"/>
        </w:rPr>
        <w:t>ntézet</w:t>
      </w:r>
      <w:r w:rsidRPr="001A2306">
        <w:rPr>
          <w:rFonts w:ascii="Times New Roman" w:hAnsi="Times New Roman" w:cs="Times New Roman"/>
        </w:rPr>
        <w:t xml:space="preserve"> </w:t>
      </w:r>
      <w:proofErr w:type="spellStart"/>
      <w:r w:rsidRPr="001A2306">
        <w:rPr>
          <w:rFonts w:ascii="Times New Roman" w:hAnsi="Times New Roman" w:cs="Times New Roman"/>
        </w:rPr>
        <w:t>egésznaposiskola</w:t>
      </w:r>
      <w:proofErr w:type="spellEnd"/>
      <w:r w:rsidRPr="001A2306">
        <w:rPr>
          <w:rFonts w:ascii="Times New Roman" w:hAnsi="Times New Roman" w:cs="Times New Roman"/>
        </w:rPr>
        <w:t xml:space="preserve"> programjának a Komplex Művészeti Nevelés komponensére kifejlesztett tanulói kérdőívére, a program végén online kérdőívvel érte el a résztvevő tanulókat, egyrészt így összegyűjtve demográfiai adataikon túl a programmal és az iskolával kapcsolatos észrevételeiket, illetve egy 50 </w:t>
      </w:r>
      <w:proofErr w:type="spellStart"/>
      <w:r w:rsidRPr="001A2306">
        <w:rPr>
          <w:rFonts w:ascii="Times New Roman" w:hAnsi="Times New Roman" w:cs="Times New Roman"/>
        </w:rPr>
        <w:t>itemből</w:t>
      </w:r>
      <w:proofErr w:type="spellEnd"/>
      <w:r w:rsidRPr="001A2306">
        <w:rPr>
          <w:rFonts w:ascii="Times New Roman" w:hAnsi="Times New Roman" w:cs="Times New Roman"/>
        </w:rPr>
        <w:t xml:space="preserve"> álló tesztsorral próbálta mérni a tanulók énképét, szociális kompetenciáit, empátiáját és tanulási motivációját. Az adatfelvétel </w:t>
      </w:r>
      <w:proofErr w:type="gramStart"/>
      <w:r w:rsidRPr="001A2306">
        <w:rPr>
          <w:rFonts w:ascii="Times New Roman" w:hAnsi="Times New Roman" w:cs="Times New Roman"/>
        </w:rPr>
        <w:t>ezen</w:t>
      </w:r>
      <w:proofErr w:type="gramEnd"/>
      <w:r w:rsidRPr="001A2306">
        <w:rPr>
          <w:rFonts w:ascii="Times New Roman" w:hAnsi="Times New Roman" w:cs="Times New Roman"/>
        </w:rPr>
        <w:t xml:space="preserve"> részének adatai szolgálnak majd összehasonlítási alapul az ez</w:t>
      </w:r>
      <w:r>
        <w:rPr>
          <w:rFonts w:ascii="Times New Roman" w:hAnsi="Times New Roman" w:cs="Times New Roman"/>
        </w:rPr>
        <w:t xml:space="preserve"> </w:t>
      </w:r>
      <w:r w:rsidRPr="001A2306">
        <w:rPr>
          <w:rFonts w:ascii="Times New Roman" w:hAnsi="Times New Roman" w:cs="Times New Roman"/>
        </w:rPr>
        <w:t xml:space="preserve">évi mérési eredmények elemzésekor, lásd jelen tanulmány </w:t>
      </w:r>
      <w:r w:rsidRPr="00DF1D13">
        <w:rPr>
          <w:rFonts w:ascii="Times New Roman" w:hAnsi="Times New Roman" w:cs="Times New Roman"/>
        </w:rPr>
        <w:t>2. részét.</w:t>
      </w:r>
    </w:p>
  </w:footnote>
  <w:footnote w:id="6">
    <w:p w14:paraId="73C27FFA" w14:textId="533A452F" w:rsidR="00931708" w:rsidRDefault="00931708">
      <w:pPr>
        <w:pStyle w:val="Lbjegyzetszveg"/>
      </w:pPr>
      <w:r>
        <w:rPr>
          <w:rStyle w:val="Lbjegyzet-hivatkozs"/>
        </w:rPr>
        <w:footnoteRef/>
      </w:r>
      <w:r>
        <w:t xml:space="preserve"> A vizsgálatról bővebben itt: </w:t>
      </w:r>
      <w:r w:rsidRPr="00B25CD8">
        <w:t>http://negyedikesmeres.oh.gov.hu/#</w:t>
      </w:r>
    </w:p>
  </w:footnote>
  <w:footnote w:id="7">
    <w:p w14:paraId="7918E821" w14:textId="110EA728" w:rsidR="00481855" w:rsidRPr="001329BA" w:rsidRDefault="00481855">
      <w:pPr>
        <w:pStyle w:val="Lbjegyzetszveg"/>
      </w:pPr>
      <w:r>
        <w:rPr>
          <w:rStyle w:val="Lbjegyzet-hivatkozs"/>
        </w:rPr>
        <w:footnoteRef/>
      </w:r>
      <w:r>
        <w:t xml:space="preserve"> </w:t>
      </w:r>
      <w:r w:rsidRPr="001329BA">
        <w:t>A teszt készítője: Jánosi Amália matematikatanár</w:t>
      </w:r>
    </w:p>
  </w:footnote>
  <w:footnote w:id="8">
    <w:p w14:paraId="0C3EE090" w14:textId="0A61EA2A" w:rsidR="00356747" w:rsidRDefault="00356747">
      <w:pPr>
        <w:pStyle w:val="Lbjegyzetszveg"/>
      </w:pPr>
      <w:r>
        <w:rPr>
          <w:rStyle w:val="Lbjegyzet-hivatkozs"/>
        </w:rPr>
        <w:footnoteRef/>
      </w:r>
      <w:r>
        <w:t xml:space="preserve"> A kérdéseket az 1. mellékletben, a kérdőív részeként közöljük</w:t>
      </w:r>
    </w:p>
  </w:footnote>
  <w:footnote w:id="9">
    <w:p w14:paraId="3BC76A27" w14:textId="7E687F56" w:rsidR="00931708" w:rsidRDefault="00931708">
      <w:pPr>
        <w:pStyle w:val="Lbjegyzetszveg"/>
        <w:rPr>
          <w:color w:val="222222"/>
          <w:shd w:val="clear" w:color="auto" w:fill="FFFFFF"/>
        </w:rPr>
      </w:pPr>
      <w:r>
        <w:rPr>
          <w:rStyle w:val="Lbjegyzet-hivatkozs"/>
        </w:rPr>
        <w:footnoteRef/>
      </w:r>
      <w:r>
        <w:t xml:space="preserve"> </w:t>
      </w:r>
      <w:hyperlink r:id="rId5" w:tgtFrame="_blank" w:history="1">
        <w:r>
          <w:rPr>
            <w:rStyle w:val="Hiperhivatkozs"/>
            <w:rFonts w:ascii="Garamond" w:hAnsi="Garamond"/>
            <w:color w:val="1155CC"/>
            <w:sz w:val="22"/>
            <w:szCs w:val="22"/>
            <w:shd w:val="clear" w:color="auto" w:fill="FFFFFF"/>
          </w:rPr>
          <w:t>http://negyedikesmeres.oh.gov.hu/2012/download/2012_teltip.pdf</w:t>
        </w:r>
      </w:hyperlink>
      <w:r>
        <w:rPr>
          <w:rFonts w:ascii="Garamond" w:hAnsi="Garamond"/>
          <w:color w:val="222222"/>
          <w:sz w:val="22"/>
          <w:szCs w:val="22"/>
          <w:shd w:val="clear" w:color="auto" w:fill="FFFFFF"/>
        </w:rPr>
        <w:t>, 5. oldal.</w:t>
      </w:r>
      <w:r>
        <w:rPr>
          <w:color w:val="222222"/>
          <w:shd w:val="clear" w:color="auto" w:fill="FFFFFF"/>
        </w:rPr>
        <w:t> </w:t>
      </w:r>
    </w:p>
    <w:p w14:paraId="09E9F8D0" w14:textId="77777777" w:rsidR="00931708" w:rsidRDefault="00931708">
      <w:pPr>
        <w:pStyle w:val="Lbjegyzetszveg"/>
      </w:pPr>
    </w:p>
  </w:footnote>
  <w:footnote w:id="10">
    <w:p w14:paraId="08575E28" w14:textId="11DFF4E0" w:rsidR="00931708" w:rsidRDefault="00931708">
      <w:pPr>
        <w:pStyle w:val="Lbjegyzetszveg"/>
      </w:pPr>
      <w:r>
        <w:rPr>
          <w:rStyle w:val="Lbjegyzet-hivatkozs"/>
        </w:rPr>
        <w:footnoteRef/>
      </w:r>
      <w:r>
        <w:t xml:space="preserve"> </w:t>
      </w:r>
      <w:r>
        <w:rPr>
          <w:rFonts w:ascii="Garamond" w:hAnsi="Garamond" w:cs="Arial"/>
          <w:color w:val="222222"/>
          <w:shd w:val="clear" w:color="auto" w:fill="FFFFFF"/>
        </w:rPr>
        <w:t xml:space="preserve">A </w:t>
      </w:r>
      <w:proofErr w:type="spellStart"/>
      <w:r>
        <w:rPr>
          <w:rFonts w:ascii="Garamond" w:hAnsi="Garamond" w:cs="Arial"/>
          <w:color w:val="222222"/>
          <w:shd w:val="clear" w:color="auto" w:fill="FFFFFF"/>
        </w:rPr>
        <w:t>k%p</w:t>
      </w:r>
      <w:proofErr w:type="spellEnd"/>
      <w:r>
        <w:rPr>
          <w:rFonts w:ascii="Garamond" w:hAnsi="Garamond" w:cs="Arial"/>
          <w:color w:val="222222"/>
          <w:shd w:val="clear" w:color="auto" w:fill="FFFFFF"/>
        </w:rPr>
        <w:t xml:space="preserve"> az aktuálisan elért eredményt az alapkészség, alapképesség optimális kiépüléséhez, optimális elsajátításához viszonyítva mutatja</w:t>
      </w:r>
      <w:r>
        <w:rPr>
          <w:rFonts w:ascii="Garamond" w:hAnsi="Garamond"/>
          <w:color w:val="222222"/>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C98"/>
    <w:multiLevelType w:val="hybridMultilevel"/>
    <w:tmpl w:val="448C3C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EB4C97"/>
    <w:multiLevelType w:val="hybridMultilevel"/>
    <w:tmpl w:val="AA94683C"/>
    <w:lvl w:ilvl="0" w:tplc="040E000F">
      <w:start w:val="1"/>
      <w:numFmt w:val="decimal"/>
      <w:lvlText w:val="%1."/>
      <w:lvlJc w:val="left"/>
      <w:pPr>
        <w:ind w:left="404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55696B"/>
    <w:multiLevelType w:val="hybridMultilevel"/>
    <w:tmpl w:val="069845A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3D7638F"/>
    <w:multiLevelType w:val="hybridMultilevel"/>
    <w:tmpl w:val="4D04E0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5E931FC"/>
    <w:multiLevelType w:val="hybridMultilevel"/>
    <w:tmpl w:val="94668518"/>
    <w:lvl w:ilvl="0" w:tplc="FB9AF0B6">
      <w:start w:val="1"/>
      <w:numFmt w:val="bullet"/>
      <w:lvlText w:val=""/>
      <w:lvlJc w:val="left"/>
      <w:pPr>
        <w:ind w:left="360" w:hanging="360"/>
      </w:pPr>
      <w:rPr>
        <w:rFonts w:ascii="Symbol" w:hAnsi="Symbol"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1B454B27"/>
    <w:multiLevelType w:val="hybridMultilevel"/>
    <w:tmpl w:val="AA946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5F4A6B"/>
    <w:multiLevelType w:val="hybridMultilevel"/>
    <w:tmpl w:val="AA946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F128A5"/>
    <w:multiLevelType w:val="hybridMultilevel"/>
    <w:tmpl w:val="AA946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64024E2"/>
    <w:multiLevelType w:val="multilevel"/>
    <w:tmpl w:val="2A124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3602BF"/>
    <w:multiLevelType w:val="multilevel"/>
    <w:tmpl w:val="1332B7C2"/>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8417378"/>
    <w:multiLevelType w:val="hybridMultilevel"/>
    <w:tmpl w:val="DA5A6506"/>
    <w:lvl w:ilvl="0" w:tplc="FB9AF0B6">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D986B21"/>
    <w:multiLevelType w:val="hybridMultilevel"/>
    <w:tmpl w:val="AA946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5205DA0"/>
    <w:multiLevelType w:val="hybridMultilevel"/>
    <w:tmpl w:val="46DE149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B572798"/>
    <w:multiLevelType w:val="multilevel"/>
    <w:tmpl w:val="6908C6EC"/>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B61D5D"/>
    <w:multiLevelType w:val="hybridMultilevel"/>
    <w:tmpl w:val="AA946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DFE6734"/>
    <w:multiLevelType w:val="hybridMultilevel"/>
    <w:tmpl w:val="96387D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A46C02"/>
    <w:multiLevelType w:val="hybridMultilevel"/>
    <w:tmpl w:val="A8E8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D0109C"/>
    <w:multiLevelType w:val="hybridMultilevel"/>
    <w:tmpl w:val="9CC6E2CC"/>
    <w:lvl w:ilvl="0" w:tplc="FB9AF0B6">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7DE57B3"/>
    <w:multiLevelType w:val="hybridMultilevel"/>
    <w:tmpl w:val="2F1466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8DE30FE"/>
    <w:multiLevelType w:val="hybridMultilevel"/>
    <w:tmpl w:val="AA946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B152C80"/>
    <w:multiLevelType w:val="hybridMultilevel"/>
    <w:tmpl w:val="E24646DC"/>
    <w:lvl w:ilvl="0" w:tplc="FB9AF0B6">
      <w:start w:val="1"/>
      <w:numFmt w:val="bullet"/>
      <w:lvlText w:val=""/>
      <w:lvlJc w:val="left"/>
      <w:pPr>
        <w:ind w:left="360" w:hanging="360"/>
      </w:pPr>
      <w:rPr>
        <w:rFonts w:ascii="Symbol" w:hAnsi="Symbol"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51AF7265"/>
    <w:multiLevelType w:val="hybridMultilevel"/>
    <w:tmpl w:val="AA946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4B0206B"/>
    <w:multiLevelType w:val="multilevel"/>
    <w:tmpl w:val="BB9279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C06660"/>
    <w:multiLevelType w:val="hybridMultilevel"/>
    <w:tmpl w:val="AA946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CEF74FF"/>
    <w:multiLevelType w:val="hybridMultilevel"/>
    <w:tmpl w:val="5050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2D1D9B"/>
    <w:multiLevelType w:val="multilevel"/>
    <w:tmpl w:val="02DAC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D60A24"/>
    <w:multiLevelType w:val="hybridMultilevel"/>
    <w:tmpl w:val="AA946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6DB3B56"/>
    <w:multiLevelType w:val="hybridMultilevel"/>
    <w:tmpl w:val="243EA6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B014B22"/>
    <w:multiLevelType w:val="hybridMultilevel"/>
    <w:tmpl w:val="23E42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B4A531B"/>
    <w:multiLevelType w:val="hybridMultilevel"/>
    <w:tmpl w:val="AA946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C1F26B5"/>
    <w:multiLevelType w:val="hybridMultilevel"/>
    <w:tmpl w:val="3BBC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BF79B7"/>
    <w:multiLevelType w:val="hybridMultilevel"/>
    <w:tmpl w:val="84CCFA4A"/>
    <w:lvl w:ilvl="0" w:tplc="B54A5F5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6003420"/>
    <w:multiLevelType w:val="hybridMultilevel"/>
    <w:tmpl w:val="6F94FF1E"/>
    <w:lvl w:ilvl="0" w:tplc="FB9AF0B6">
      <w:start w:val="1"/>
      <w:numFmt w:val="bullet"/>
      <w:lvlText w:val=""/>
      <w:lvlJc w:val="left"/>
      <w:pPr>
        <w:ind w:left="360" w:hanging="360"/>
      </w:pPr>
      <w:rPr>
        <w:rFonts w:ascii="Symbol" w:hAnsi="Symbol"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78A76595"/>
    <w:multiLevelType w:val="hybridMultilevel"/>
    <w:tmpl w:val="C95EB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A942D3"/>
    <w:multiLevelType w:val="multilevel"/>
    <w:tmpl w:val="D2FA7E0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3"/>
  </w:num>
  <w:num w:numId="3">
    <w:abstractNumId w:val="7"/>
  </w:num>
  <w:num w:numId="4">
    <w:abstractNumId w:val="19"/>
  </w:num>
  <w:num w:numId="5">
    <w:abstractNumId w:val="28"/>
  </w:num>
  <w:num w:numId="6">
    <w:abstractNumId w:val="8"/>
  </w:num>
  <w:num w:numId="7">
    <w:abstractNumId w:val="5"/>
  </w:num>
  <w:num w:numId="8">
    <w:abstractNumId w:val="21"/>
  </w:num>
  <w:num w:numId="9">
    <w:abstractNumId w:val="29"/>
  </w:num>
  <w:num w:numId="10">
    <w:abstractNumId w:val="15"/>
  </w:num>
  <w:num w:numId="11">
    <w:abstractNumId w:val="14"/>
  </w:num>
  <w:num w:numId="12">
    <w:abstractNumId w:val="26"/>
  </w:num>
  <w:num w:numId="13">
    <w:abstractNumId w:val="6"/>
  </w:num>
  <w:num w:numId="14">
    <w:abstractNumId w:val="11"/>
  </w:num>
  <w:num w:numId="15">
    <w:abstractNumId w:val="34"/>
  </w:num>
  <w:num w:numId="16">
    <w:abstractNumId w:val="25"/>
  </w:num>
  <w:num w:numId="17">
    <w:abstractNumId w:val="13"/>
  </w:num>
  <w:num w:numId="18">
    <w:abstractNumId w:val="9"/>
  </w:num>
  <w:num w:numId="19">
    <w:abstractNumId w:val="31"/>
  </w:num>
  <w:num w:numId="20">
    <w:abstractNumId w:val="22"/>
  </w:num>
  <w:num w:numId="21">
    <w:abstractNumId w:val="12"/>
  </w:num>
  <w:num w:numId="22">
    <w:abstractNumId w:val="16"/>
  </w:num>
  <w:num w:numId="23">
    <w:abstractNumId w:val="24"/>
  </w:num>
  <w:num w:numId="24">
    <w:abstractNumId w:val="30"/>
  </w:num>
  <w:num w:numId="25">
    <w:abstractNumId w:val="33"/>
  </w:num>
  <w:num w:numId="26">
    <w:abstractNumId w:val="27"/>
  </w:num>
  <w:num w:numId="27">
    <w:abstractNumId w:val="18"/>
  </w:num>
  <w:num w:numId="28">
    <w:abstractNumId w:val="3"/>
  </w:num>
  <w:num w:numId="29">
    <w:abstractNumId w:val="0"/>
  </w:num>
  <w:num w:numId="30">
    <w:abstractNumId w:val="2"/>
  </w:num>
  <w:num w:numId="31">
    <w:abstractNumId w:val="10"/>
  </w:num>
  <w:num w:numId="32">
    <w:abstractNumId w:val="17"/>
  </w:num>
  <w:num w:numId="33">
    <w:abstractNumId w:val="4"/>
  </w:num>
  <w:num w:numId="34">
    <w:abstractNumId w:val="3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1A"/>
    <w:rsid w:val="000011A7"/>
    <w:rsid w:val="00003ECC"/>
    <w:rsid w:val="0000404D"/>
    <w:rsid w:val="000062A0"/>
    <w:rsid w:val="0001201D"/>
    <w:rsid w:val="0001407A"/>
    <w:rsid w:val="000232D9"/>
    <w:rsid w:val="00023ABD"/>
    <w:rsid w:val="0002500B"/>
    <w:rsid w:val="00026887"/>
    <w:rsid w:val="00027404"/>
    <w:rsid w:val="00031A4F"/>
    <w:rsid w:val="00034ED0"/>
    <w:rsid w:val="000355C2"/>
    <w:rsid w:val="00036B8E"/>
    <w:rsid w:val="0003710B"/>
    <w:rsid w:val="00042867"/>
    <w:rsid w:val="00045BA2"/>
    <w:rsid w:val="000463F1"/>
    <w:rsid w:val="00051DA0"/>
    <w:rsid w:val="00053409"/>
    <w:rsid w:val="00054573"/>
    <w:rsid w:val="00055B53"/>
    <w:rsid w:val="00055F03"/>
    <w:rsid w:val="000572D2"/>
    <w:rsid w:val="0006068E"/>
    <w:rsid w:val="00061603"/>
    <w:rsid w:val="000755B0"/>
    <w:rsid w:val="00076687"/>
    <w:rsid w:val="0008003C"/>
    <w:rsid w:val="00080962"/>
    <w:rsid w:val="00080EF3"/>
    <w:rsid w:val="00083842"/>
    <w:rsid w:val="00083C22"/>
    <w:rsid w:val="000854EB"/>
    <w:rsid w:val="0008673B"/>
    <w:rsid w:val="00094F85"/>
    <w:rsid w:val="000A252C"/>
    <w:rsid w:val="000A42B0"/>
    <w:rsid w:val="000A5394"/>
    <w:rsid w:val="000A56FA"/>
    <w:rsid w:val="000A602C"/>
    <w:rsid w:val="000A732B"/>
    <w:rsid w:val="000B6DAE"/>
    <w:rsid w:val="000B7046"/>
    <w:rsid w:val="000B7371"/>
    <w:rsid w:val="000C1DCA"/>
    <w:rsid w:val="000D1D64"/>
    <w:rsid w:val="000D4FF1"/>
    <w:rsid w:val="000E44A2"/>
    <w:rsid w:val="000E7129"/>
    <w:rsid w:val="000F01D4"/>
    <w:rsid w:val="000F0323"/>
    <w:rsid w:val="000F128C"/>
    <w:rsid w:val="000F2725"/>
    <w:rsid w:val="000F4EC2"/>
    <w:rsid w:val="000F75C2"/>
    <w:rsid w:val="0010012E"/>
    <w:rsid w:val="001066DC"/>
    <w:rsid w:val="00114FB6"/>
    <w:rsid w:val="001160F1"/>
    <w:rsid w:val="00120655"/>
    <w:rsid w:val="00122A41"/>
    <w:rsid w:val="00123025"/>
    <w:rsid w:val="001239C9"/>
    <w:rsid w:val="00130E63"/>
    <w:rsid w:val="001311C4"/>
    <w:rsid w:val="001329BA"/>
    <w:rsid w:val="0013331C"/>
    <w:rsid w:val="001338AB"/>
    <w:rsid w:val="0013723F"/>
    <w:rsid w:val="00152DB8"/>
    <w:rsid w:val="00164242"/>
    <w:rsid w:val="00171A5B"/>
    <w:rsid w:val="00172ED4"/>
    <w:rsid w:val="00180E3E"/>
    <w:rsid w:val="00186027"/>
    <w:rsid w:val="00186C53"/>
    <w:rsid w:val="001924CD"/>
    <w:rsid w:val="00194D65"/>
    <w:rsid w:val="001A0770"/>
    <w:rsid w:val="001A2306"/>
    <w:rsid w:val="001A486D"/>
    <w:rsid w:val="001B3585"/>
    <w:rsid w:val="001B4AD8"/>
    <w:rsid w:val="001B5C1B"/>
    <w:rsid w:val="001B7256"/>
    <w:rsid w:val="001C5ADA"/>
    <w:rsid w:val="001D0E7B"/>
    <w:rsid w:val="001D5D3A"/>
    <w:rsid w:val="001E1DE6"/>
    <w:rsid w:val="001E4739"/>
    <w:rsid w:val="001E5568"/>
    <w:rsid w:val="001E7A4D"/>
    <w:rsid w:val="001F2659"/>
    <w:rsid w:val="001F3190"/>
    <w:rsid w:val="001F4A06"/>
    <w:rsid w:val="001F6E7C"/>
    <w:rsid w:val="00200C00"/>
    <w:rsid w:val="00205757"/>
    <w:rsid w:val="002076BC"/>
    <w:rsid w:val="002115A7"/>
    <w:rsid w:val="002166EB"/>
    <w:rsid w:val="00221166"/>
    <w:rsid w:val="00226F67"/>
    <w:rsid w:val="00233781"/>
    <w:rsid w:val="00237BEE"/>
    <w:rsid w:val="00250E60"/>
    <w:rsid w:val="00252516"/>
    <w:rsid w:val="00261DC6"/>
    <w:rsid w:val="00263812"/>
    <w:rsid w:val="00264550"/>
    <w:rsid w:val="00264C32"/>
    <w:rsid w:val="00270446"/>
    <w:rsid w:val="00272A5E"/>
    <w:rsid w:val="0027306E"/>
    <w:rsid w:val="00273ED8"/>
    <w:rsid w:val="00276C07"/>
    <w:rsid w:val="00287325"/>
    <w:rsid w:val="00295403"/>
    <w:rsid w:val="002967B7"/>
    <w:rsid w:val="00296A11"/>
    <w:rsid w:val="002A015A"/>
    <w:rsid w:val="002A3EF9"/>
    <w:rsid w:val="002B01DD"/>
    <w:rsid w:val="002B2B06"/>
    <w:rsid w:val="002B353E"/>
    <w:rsid w:val="002B40B6"/>
    <w:rsid w:val="002B6143"/>
    <w:rsid w:val="002C1736"/>
    <w:rsid w:val="002C7F93"/>
    <w:rsid w:val="002D2185"/>
    <w:rsid w:val="002D21C3"/>
    <w:rsid w:val="002D3CB8"/>
    <w:rsid w:val="002D5F47"/>
    <w:rsid w:val="002E2417"/>
    <w:rsid w:val="002E4EC4"/>
    <w:rsid w:val="002E60E7"/>
    <w:rsid w:val="002E6739"/>
    <w:rsid w:val="002F3DCF"/>
    <w:rsid w:val="002F78A3"/>
    <w:rsid w:val="002F78E5"/>
    <w:rsid w:val="00304196"/>
    <w:rsid w:val="00311B80"/>
    <w:rsid w:val="00313BD8"/>
    <w:rsid w:val="00314240"/>
    <w:rsid w:val="00316451"/>
    <w:rsid w:val="003220D7"/>
    <w:rsid w:val="00322B3D"/>
    <w:rsid w:val="00323D50"/>
    <w:rsid w:val="003260A3"/>
    <w:rsid w:val="00336E1F"/>
    <w:rsid w:val="003423C1"/>
    <w:rsid w:val="00342644"/>
    <w:rsid w:val="003433E6"/>
    <w:rsid w:val="0035208F"/>
    <w:rsid w:val="003525AA"/>
    <w:rsid w:val="00353916"/>
    <w:rsid w:val="00355FB5"/>
    <w:rsid w:val="003563BA"/>
    <w:rsid w:val="00356747"/>
    <w:rsid w:val="00357289"/>
    <w:rsid w:val="00357998"/>
    <w:rsid w:val="00364322"/>
    <w:rsid w:val="003664DA"/>
    <w:rsid w:val="0038098E"/>
    <w:rsid w:val="00386EC2"/>
    <w:rsid w:val="00390130"/>
    <w:rsid w:val="003912D0"/>
    <w:rsid w:val="003949EA"/>
    <w:rsid w:val="0039631E"/>
    <w:rsid w:val="003A3F54"/>
    <w:rsid w:val="003B1938"/>
    <w:rsid w:val="003B225B"/>
    <w:rsid w:val="003B568E"/>
    <w:rsid w:val="003B7DE8"/>
    <w:rsid w:val="003C07C5"/>
    <w:rsid w:val="003C0BAA"/>
    <w:rsid w:val="003C0C71"/>
    <w:rsid w:val="003C2654"/>
    <w:rsid w:val="003C5611"/>
    <w:rsid w:val="003C7DAC"/>
    <w:rsid w:val="003D135F"/>
    <w:rsid w:val="003D4163"/>
    <w:rsid w:val="003E2618"/>
    <w:rsid w:val="003E6DBD"/>
    <w:rsid w:val="003F1F36"/>
    <w:rsid w:val="003F21E8"/>
    <w:rsid w:val="003F316F"/>
    <w:rsid w:val="003F32B1"/>
    <w:rsid w:val="00401D62"/>
    <w:rsid w:val="00404233"/>
    <w:rsid w:val="004175AB"/>
    <w:rsid w:val="004221FC"/>
    <w:rsid w:val="004235E1"/>
    <w:rsid w:val="00425183"/>
    <w:rsid w:val="004272A3"/>
    <w:rsid w:val="004272B3"/>
    <w:rsid w:val="0043250B"/>
    <w:rsid w:val="00432C34"/>
    <w:rsid w:val="00433240"/>
    <w:rsid w:val="00434638"/>
    <w:rsid w:val="00437F6B"/>
    <w:rsid w:val="00440189"/>
    <w:rsid w:val="004401F3"/>
    <w:rsid w:val="0044170E"/>
    <w:rsid w:val="00453CBA"/>
    <w:rsid w:val="00461BB5"/>
    <w:rsid w:val="004633E7"/>
    <w:rsid w:val="00467985"/>
    <w:rsid w:val="0047024D"/>
    <w:rsid w:val="004723B9"/>
    <w:rsid w:val="004742B8"/>
    <w:rsid w:val="004753C7"/>
    <w:rsid w:val="00477EF6"/>
    <w:rsid w:val="00481855"/>
    <w:rsid w:val="00483414"/>
    <w:rsid w:val="0048379D"/>
    <w:rsid w:val="00491B09"/>
    <w:rsid w:val="0049237D"/>
    <w:rsid w:val="00494C6F"/>
    <w:rsid w:val="004963D8"/>
    <w:rsid w:val="004A1399"/>
    <w:rsid w:val="004A14E8"/>
    <w:rsid w:val="004A1A2C"/>
    <w:rsid w:val="004A1F1C"/>
    <w:rsid w:val="004A30FD"/>
    <w:rsid w:val="004A58D5"/>
    <w:rsid w:val="004B0B96"/>
    <w:rsid w:val="004B2665"/>
    <w:rsid w:val="004B4D78"/>
    <w:rsid w:val="004B5F25"/>
    <w:rsid w:val="004C3C9F"/>
    <w:rsid w:val="004C4C58"/>
    <w:rsid w:val="004C5684"/>
    <w:rsid w:val="004C6558"/>
    <w:rsid w:val="004D1971"/>
    <w:rsid w:val="004D19C1"/>
    <w:rsid w:val="004D2CBF"/>
    <w:rsid w:val="004D6CC2"/>
    <w:rsid w:val="004E3FF5"/>
    <w:rsid w:val="004E505B"/>
    <w:rsid w:val="004E79B5"/>
    <w:rsid w:val="004F05E8"/>
    <w:rsid w:val="0050191A"/>
    <w:rsid w:val="00504CC6"/>
    <w:rsid w:val="00507269"/>
    <w:rsid w:val="00513CF0"/>
    <w:rsid w:val="0051495A"/>
    <w:rsid w:val="00520E87"/>
    <w:rsid w:val="00522265"/>
    <w:rsid w:val="005235C0"/>
    <w:rsid w:val="005274A6"/>
    <w:rsid w:val="0053434F"/>
    <w:rsid w:val="0054180F"/>
    <w:rsid w:val="005448D7"/>
    <w:rsid w:val="00551977"/>
    <w:rsid w:val="00553A4E"/>
    <w:rsid w:val="00556C98"/>
    <w:rsid w:val="00560C2D"/>
    <w:rsid w:val="00562E9A"/>
    <w:rsid w:val="00563D7D"/>
    <w:rsid w:val="00564D69"/>
    <w:rsid w:val="00565818"/>
    <w:rsid w:val="00570D32"/>
    <w:rsid w:val="00575019"/>
    <w:rsid w:val="00581417"/>
    <w:rsid w:val="005815F5"/>
    <w:rsid w:val="0058292C"/>
    <w:rsid w:val="005854D7"/>
    <w:rsid w:val="00586517"/>
    <w:rsid w:val="0058717B"/>
    <w:rsid w:val="005909EA"/>
    <w:rsid w:val="00590C69"/>
    <w:rsid w:val="00595216"/>
    <w:rsid w:val="00596F38"/>
    <w:rsid w:val="005A14A9"/>
    <w:rsid w:val="005A3C94"/>
    <w:rsid w:val="005A6D32"/>
    <w:rsid w:val="005B063F"/>
    <w:rsid w:val="005B5894"/>
    <w:rsid w:val="005C3B75"/>
    <w:rsid w:val="005C44FC"/>
    <w:rsid w:val="005C52B6"/>
    <w:rsid w:val="005C5B3E"/>
    <w:rsid w:val="005C61D7"/>
    <w:rsid w:val="005D23FB"/>
    <w:rsid w:val="005D32C5"/>
    <w:rsid w:val="005D3E3C"/>
    <w:rsid w:val="005D6823"/>
    <w:rsid w:val="005E3575"/>
    <w:rsid w:val="005E4E5E"/>
    <w:rsid w:val="005E65CF"/>
    <w:rsid w:val="005E7B38"/>
    <w:rsid w:val="005F1425"/>
    <w:rsid w:val="005F4D64"/>
    <w:rsid w:val="005F6865"/>
    <w:rsid w:val="005F7BF6"/>
    <w:rsid w:val="00600109"/>
    <w:rsid w:val="006010CA"/>
    <w:rsid w:val="00601323"/>
    <w:rsid w:val="00603F96"/>
    <w:rsid w:val="006052C2"/>
    <w:rsid w:val="0061240D"/>
    <w:rsid w:val="006142E7"/>
    <w:rsid w:val="00623D45"/>
    <w:rsid w:val="0062573E"/>
    <w:rsid w:val="00626073"/>
    <w:rsid w:val="0063095B"/>
    <w:rsid w:val="0063172C"/>
    <w:rsid w:val="00633E1B"/>
    <w:rsid w:val="00641D1C"/>
    <w:rsid w:val="00642A67"/>
    <w:rsid w:val="00652A2C"/>
    <w:rsid w:val="00656746"/>
    <w:rsid w:val="00661F4B"/>
    <w:rsid w:val="0066367D"/>
    <w:rsid w:val="0066618E"/>
    <w:rsid w:val="006673A6"/>
    <w:rsid w:val="00671A8D"/>
    <w:rsid w:val="0067244D"/>
    <w:rsid w:val="00682FDA"/>
    <w:rsid w:val="00685DD5"/>
    <w:rsid w:val="0069369B"/>
    <w:rsid w:val="00694105"/>
    <w:rsid w:val="006A12AB"/>
    <w:rsid w:val="006A1A69"/>
    <w:rsid w:val="006A28DD"/>
    <w:rsid w:val="006A33DF"/>
    <w:rsid w:val="006A476A"/>
    <w:rsid w:val="006A6674"/>
    <w:rsid w:val="006A7E88"/>
    <w:rsid w:val="006B0719"/>
    <w:rsid w:val="006B1C60"/>
    <w:rsid w:val="006C1E56"/>
    <w:rsid w:val="006C2F8D"/>
    <w:rsid w:val="006C4A62"/>
    <w:rsid w:val="006C5CA7"/>
    <w:rsid w:val="006C5F4F"/>
    <w:rsid w:val="006C69B8"/>
    <w:rsid w:val="006D1622"/>
    <w:rsid w:val="006D1F2D"/>
    <w:rsid w:val="006D217D"/>
    <w:rsid w:val="006D5C88"/>
    <w:rsid w:val="006D7728"/>
    <w:rsid w:val="006E2352"/>
    <w:rsid w:val="006E2E7A"/>
    <w:rsid w:val="006E442B"/>
    <w:rsid w:val="006E4892"/>
    <w:rsid w:val="006F2FC6"/>
    <w:rsid w:val="00703386"/>
    <w:rsid w:val="007053D0"/>
    <w:rsid w:val="007136FA"/>
    <w:rsid w:val="00717DC8"/>
    <w:rsid w:val="00721001"/>
    <w:rsid w:val="00724EED"/>
    <w:rsid w:val="0072560C"/>
    <w:rsid w:val="007325D3"/>
    <w:rsid w:val="00732D5B"/>
    <w:rsid w:val="00735336"/>
    <w:rsid w:val="00744412"/>
    <w:rsid w:val="00745CC6"/>
    <w:rsid w:val="00757453"/>
    <w:rsid w:val="00764118"/>
    <w:rsid w:val="00764BE1"/>
    <w:rsid w:val="00764FDD"/>
    <w:rsid w:val="007712E1"/>
    <w:rsid w:val="00772C0C"/>
    <w:rsid w:val="00776EFB"/>
    <w:rsid w:val="00777B41"/>
    <w:rsid w:val="0078321B"/>
    <w:rsid w:val="007834F9"/>
    <w:rsid w:val="00783AC2"/>
    <w:rsid w:val="007847EC"/>
    <w:rsid w:val="00786D8F"/>
    <w:rsid w:val="00791001"/>
    <w:rsid w:val="00791FFF"/>
    <w:rsid w:val="00792E97"/>
    <w:rsid w:val="007942A3"/>
    <w:rsid w:val="00796A46"/>
    <w:rsid w:val="007A3AE5"/>
    <w:rsid w:val="007A4F96"/>
    <w:rsid w:val="007A7651"/>
    <w:rsid w:val="007B197D"/>
    <w:rsid w:val="007C0B3F"/>
    <w:rsid w:val="007C3117"/>
    <w:rsid w:val="007C32FD"/>
    <w:rsid w:val="007C6E7E"/>
    <w:rsid w:val="007C7C06"/>
    <w:rsid w:val="007D3858"/>
    <w:rsid w:val="007D6ED1"/>
    <w:rsid w:val="007E46EE"/>
    <w:rsid w:val="007E5075"/>
    <w:rsid w:val="007E5A7E"/>
    <w:rsid w:val="007F1DE2"/>
    <w:rsid w:val="007F4404"/>
    <w:rsid w:val="007F57A7"/>
    <w:rsid w:val="007F6E69"/>
    <w:rsid w:val="00801522"/>
    <w:rsid w:val="0080161F"/>
    <w:rsid w:val="00801EFE"/>
    <w:rsid w:val="00802194"/>
    <w:rsid w:val="0080299A"/>
    <w:rsid w:val="00805FC8"/>
    <w:rsid w:val="00807F03"/>
    <w:rsid w:val="00813B9F"/>
    <w:rsid w:val="00815FE5"/>
    <w:rsid w:val="008202EE"/>
    <w:rsid w:val="0082158E"/>
    <w:rsid w:val="00825577"/>
    <w:rsid w:val="0083071C"/>
    <w:rsid w:val="0083193B"/>
    <w:rsid w:val="00832E9A"/>
    <w:rsid w:val="00833DDA"/>
    <w:rsid w:val="0084285F"/>
    <w:rsid w:val="00842B4F"/>
    <w:rsid w:val="00845127"/>
    <w:rsid w:val="0084596F"/>
    <w:rsid w:val="0085012B"/>
    <w:rsid w:val="00853E91"/>
    <w:rsid w:val="00860522"/>
    <w:rsid w:val="008750F2"/>
    <w:rsid w:val="008770B2"/>
    <w:rsid w:val="0088235D"/>
    <w:rsid w:val="00882F7B"/>
    <w:rsid w:val="00887E7C"/>
    <w:rsid w:val="0089057F"/>
    <w:rsid w:val="00894105"/>
    <w:rsid w:val="008962BD"/>
    <w:rsid w:val="008A776D"/>
    <w:rsid w:val="008B03A5"/>
    <w:rsid w:val="008B090D"/>
    <w:rsid w:val="008B112F"/>
    <w:rsid w:val="008B399D"/>
    <w:rsid w:val="008B648F"/>
    <w:rsid w:val="008B675E"/>
    <w:rsid w:val="008B7ACB"/>
    <w:rsid w:val="008C070F"/>
    <w:rsid w:val="008C2BA2"/>
    <w:rsid w:val="008C37F7"/>
    <w:rsid w:val="008C4D81"/>
    <w:rsid w:val="008C5CE4"/>
    <w:rsid w:val="008C67DC"/>
    <w:rsid w:val="008D1EB4"/>
    <w:rsid w:val="008D3F51"/>
    <w:rsid w:val="008D435F"/>
    <w:rsid w:val="008D5BF9"/>
    <w:rsid w:val="008E0DF4"/>
    <w:rsid w:val="008E1A50"/>
    <w:rsid w:val="008E1D60"/>
    <w:rsid w:val="008E2842"/>
    <w:rsid w:val="008E55B0"/>
    <w:rsid w:val="008F3F65"/>
    <w:rsid w:val="008F5559"/>
    <w:rsid w:val="008F6711"/>
    <w:rsid w:val="008F7079"/>
    <w:rsid w:val="00907ADC"/>
    <w:rsid w:val="00907F3D"/>
    <w:rsid w:val="00910DAA"/>
    <w:rsid w:val="0091101E"/>
    <w:rsid w:val="00912F8D"/>
    <w:rsid w:val="00913A71"/>
    <w:rsid w:val="00915277"/>
    <w:rsid w:val="00916313"/>
    <w:rsid w:val="009203CC"/>
    <w:rsid w:val="00922BAB"/>
    <w:rsid w:val="00925ECC"/>
    <w:rsid w:val="00926251"/>
    <w:rsid w:val="00927A88"/>
    <w:rsid w:val="00931708"/>
    <w:rsid w:val="0093421F"/>
    <w:rsid w:val="00934D79"/>
    <w:rsid w:val="00935AAA"/>
    <w:rsid w:val="009378D1"/>
    <w:rsid w:val="0094005C"/>
    <w:rsid w:val="00942977"/>
    <w:rsid w:val="00944E2A"/>
    <w:rsid w:val="0095396B"/>
    <w:rsid w:val="009574D3"/>
    <w:rsid w:val="00960CA7"/>
    <w:rsid w:val="00962E0F"/>
    <w:rsid w:val="0096447B"/>
    <w:rsid w:val="00964699"/>
    <w:rsid w:val="009704F7"/>
    <w:rsid w:val="00971E42"/>
    <w:rsid w:val="009728FB"/>
    <w:rsid w:val="00973728"/>
    <w:rsid w:val="009743CB"/>
    <w:rsid w:val="00977465"/>
    <w:rsid w:val="00982504"/>
    <w:rsid w:val="00982A89"/>
    <w:rsid w:val="00982AB7"/>
    <w:rsid w:val="00991D60"/>
    <w:rsid w:val="009922E7"/>
    <w:rsid w:val="00994119"/>
    <w:rsid w:val="009A0DE9"/>
    <w:rsid w:val="009A20FD"/>
    <w:rsid w:val="009A5B21"/>
    <w:rsid w:val="009A74C9"/>
    <w:rsid w:val="009B294B"/>
    <w:rsid w:val="009B3EB9"/>
    <w:rsid w:val="009C4571"/>
    <w:rsid w:val="009D0EBE"/>
    <w:rsid w:val="009D2DF1"/>
    <w:rsid w:val="009D338B"/>
    <w:rsid w:val="009D5F91"/>
    <w:rsid w:val="009E05FE"/>
    <w:rsid w:val="009E4846"/>
    <w:rsid w:val="009E4F2E"/>
    <w:rsid w:val="009E5463"/>
    <w:rsid w:val="009E6E8E"/>
    <w:rsid w:val="009F1170"/>
    <w:rsid w:val="009F46F3"/>
    <w:rsid w:val="009F566B"/>
    <w:rsid w:val="00A02D63"/>
    <w:rsid w:val="00A04F67"/>
    <w:rsid w:val="00A06860"/>
    <w:rsid w:val="00A077DB"/>
    <w:rsid w:val="00A125D4"/>
    <w:rsid w:val="00A12C0D"/>
    <w:rsid w:val="00A13B35"/>
    <w:rsid w:val="00A154A3"/>
    <w:rsid w:val="00A20B61"/>
    <w:rsid w:val="00A21057"/>
    <w:rsid w:val="00A23C28"/>
    <w:rsid w:val="00A250A8"/>
    <w:rsid w:val="00A30105"/>
    <w:rsid w:val="00A314CC"/>
    <w:rsid w:val="00A326C9"/>
    <w:rsid w:val="00A34917"/>
    <w:rsid w:val="00A358E1"/>
    <w:rsid w:val="00A36080"/>
    <w:rsid w:val="00A438AE"/>
    <w:rsid w:val="00A47FF3"/>
    <w:rsid w:val="00A54A7D"/>
    <w:rsid w:val="00A55082"/>
    <w:rsid w:val="00A55577"/>
    <w:rsid w:val="00A652E8"/>
    <w:rsid w:val="00A71ACC"/>
    <w:rsid w:val="00A74054"/>
    <w:rsid w:val="00A77F49"/>
    <w:rsid w:val="00A82047"/>
    <w:rsid w:val="00A82240"/>
    <w:rsid w:val="00A82D30"/>
    <w:rsid w:val="00A84EB2"/>
    <w:rsid w:val="00A856F6"/>
    <w:rsid w:val="00A85F5A"/>
    <w:rsid w:val="00A86D08"/>
    <w:rsid w:val="00A87AEE"/>
    <w:rsid w:val="00A9044A"/>
    <w:rsid w:val="00A91219"/>
    <w:rsid w:val="00A971CE"/>
    <w:rsid w:val="00AA309B"/>
    <w:rsid w:val="00AA3148"/>
    <w:rsid w:val="00AA52D7"/>
    <w:rsid w:val="00AB07AD"/>
    <w:rsid w:val="00AB34AF"/>
    <w:rsid w:val="00AB3BD0"/>
    <w:rsid w:val="00AB5999"/>
    <w:rsid w:val="00AC2D45"/>
    <w:rsid w:val="00AC314A"/>
    <w:rsid w:val="00AC53A0"/>
    <w:rsid w:val="00AD05A7"/>
    <w:rsid w:val="00AD467B"/>
    <w:rsid w:val="00AD6074"/>
    <w:rsid w:val="00AE0794"/>
    <w:rsid w:val="00AE391C"/>
    <w:rsid w:val="00AE4601"/>
    <w:rsid w:val="00AE7030"/>
    <w:rsid w:val="00AE742D"/>
    <w:rsid w:val="00AF0740"/>
    <w:rsid w:val="00AF0F33"/>
    <w:rsid w:val="00AF3D37"/>
    <w:rsid w:val="00B0261A"/>
    <w:rsid w:val="00B07480"/>
    <w:rsid w:val="00B10941"/>
    <w:rsid w:val="00B13621"/>
    <w:rsid w:val="00B17383"/>
    <w:rsid w:val="00B213BD"/>
    <w:rsid w:val="00B2333F"/>
    <w:rsid w:val="00B242A8"/>
    <w:rsid w:val="00B25CD8"/>
    <w:rsid w:val="00B3112D"/>
    <w:rsid w:val="00B3195B"/>
    <w:rsid w:val="00B3341A"/>
    <w:rsid w:val="00B41225"/>
    <w:rsid w:val="00B41B5F"/>
    <w:rsid w:val="00B41F26"/>
    <w:rsid w:val="00B426BC"/>
    <w:rsid w:val="00B43159"/>
    <w:rsid w:val="00B464B2"/>
    <w:rsid w:val="00B559C9"/>
    <w:rsid w:val="00B57649"/>
    <w:rsid w:val="00B623D5"/>
    <w:rsid w:val="00B624FF"/>
    <w:rsid w:val="00B64279"/>
    <w:rsid w:val="00B65793"/>
    <w:rsid w:val="00B71120"/>
    <w:rsid w:val="00B71AD3"/>
    <w:rsid w:val="00B83859"/>
    <w:rsid w:val="00B84C9D"/>
    <w:rsid w:val="00B86355"/>
    <w:rsid w:val="00B870AF"/>
    <w:rsid w:val="00B87CC7"/>
    <w:rsid w:val="00B903C7"/>
    <w:rsid w:val="00B9117C"/>
    <w:rsid w:val="00B915CA"/>
    <w:rsid w:val="00B92D24"/>
    <w:rsid w:val="00B93A7A"/>
    <w:rsid w:val="00BA07A3"/>
    <w:rsid w:val="00BA4EDE"/>
    <w:rsid w:val="00BB42BB"/>
    <w:rsid w:val="00BB623A"/>
    <w:rsid w:val="00BC0352"/>
    <w:rsid w:val="00BC19C9"/>
    <w:rsid w:val="00BC25D8"/>
    <w:rsid w:val="00BD0713"/>
    <w:rsid w:val="00BD0E13"/>
    <w:rsid w:val="00BD21BA"/>
    <w:rsid w:val="00BD452F"/>
    <w:rsid w:val="00BD6C23"/>
    <w:rsid w:val="00BD7294"/>
    <w:rsid w:val="00BE4950"/>
    <w:rsid w:val="00BE7443"/>
    <w:rsid w:val="00BF0AA5"/>
    <w:rsid w:val="00BF7ED0"/>
    <w:rsid w:val="00C02585"/>
    <w:rsid w:val="00C03B1D"/>
    <w:rsid w:val="00C042B3"/>
    <w:rsid w:val="00C11706"/>
    <w:rsid w:val="00C134EC"/>
    <w:rsid w:val="00C17CEA"/>
    <w:rsid w:val="00C21F04"/>
    <w:rsid w:val="00C22C67"/>
    <w:rsid w:val="00C235C0"/>
    <w:rsid w:val="00C23E41"/>
    <w:rsid w:val="00C242C6"/>
    <w:rsid w:val="00C24487"/>
    <w:rsid w:val="00C36638"/>
    <w:rsid w:val="00C37131"/>
    <w:rsid w:val="00C40D18"/>
    <w:rsid w:val="00C418DB"/>
    <w:rsid w:val="00C420E8"/>
    <w:rsid w:val="00C44AC6"/>
    <w:rsid w:val="00C5776B"/>
    <w:rsid w:val="00C617C5"/>
    <w:rsid w:val="00C65226"/>
    <w:rsid w:val="00C7210B"/>
    <w:rsid w:val="00C7403C"/>
    <w:rsid w:val="00C777C6"/>
    <w:rsid w:val="00C815A9"/>
    <w:rsid w:val="00C8279E"/>
    <w:rsid w:val="00C861E3"/>
    <w:rsid w:val="00C902D5"/>
    <w:rsid w:val="00C9346B"/>
    <w:rsid w:val="00C970B9"/>
    <w:rsid w:val="00C97F00"/>
    <w:rsid w:val="00CA0EA0"/>
    <w:rsid w:val="00CA38A9"/>
    <w:rsid w:val="00CA50AB"/>
    <w:rsid w:val="00CA5868"/>
    <w:rsid w:val="00CA7FCA"/>
    <w:rsid w:val="00CB013D"/>
    <w:rsid w:val="00CB195F"/>
    <w:rsid w:val="00CB26C4"/>
    <w:rsid w:val="00CB2F52"/>
    <w:rsid w:val="00CB32E4"/>
    <w:rsid w:val="00CB55D1"/>
    <w:rsid w:val="00CB5C0F"/>
    <w:rsid w:val="00CC6C5C"/>
    <w:rsid w:val="00CD522D"/>
    <w:rsid w:val="00CE25DE"/>
    <w:rsid w:val="00CE464C"/>
    <w:rsid w:val="00CE475A"/>
    <w:rsid w:val="00CE7ACA"/>
    <w:rsid w:val="00CF569F"/>
    <w:rsid w:val="00CF6D95"/>
    <w:rsid w:val="00D01BA0"/>
    <w:rsid w:val="00D0346A"/>
    <w:rsid w:val="00D04590"/>
    <w:rsid w:val="00D12278"/>
    <w:rsid w:val="00D133EE"/>
    <w:rsid w:val="00D13DD8"/>
    <w:rsid w:val="00D15E1A"/>
    <w:rsid w:val="00D2099E"/>
    <w:rsid w:val="00D2771B"/>
    <w:rsid w:val="00D31D29"/>
    <w:rsid w:val="00D32CBF"/>
    <w:rsid w:val="00D332C8"/>
    <w:rsid w:val="00D35676"/>
    <w:rsid w:val="00D429C9"/>
    <w:rsid w:val="00D46887"/>
    <w:rsid w:val="00D47370"/>
    <w:rsid w:val="00D510F1"/>
    <w:rsid w:val="00D51ED9"/>
    <w:rsid w:val="00D560D2"/>
    <w:rsid w:val="00D56509"/>
    <w:rsid w:val="00D607C4"/>
    <w:rsid w:val="00D6106E"/>
    <w:rsid w:val="00D70EB8"/>
    <w:rsid w:val="00D83CA9"/>
    <w:rsid w:val="00D85CD4"/>
    <w:rsid w:val="00D90269"/>
    <w:rsid w:val="00D904BF"/>
    <w:rsid w:val="00D90D70"/>
    <w:rsid w:val="00D949B6"/>
    <w:rsid w:val="00D96ED5"/>
    <w:rsid w:val="00D977D6"/>
    <w:rsid w:val="00D97C31"/>
    <w:rsid w:val="00DA1AC5"/>
    <w:rsid w:val="00DA1B5D"/>
    <w:rsid w:val="00DA3E5D"/>
    <w:rsid w:val="00DB2978"/>
    <w:rsid w:val="00DB2FFA"/>
    <w:rsid w:val="00DB396A"/>
    <w:rsid w:val="00DC0678"/>
    <w:rsid w:val="00DC0896"/>
    <w:rsid w:val="00DC13B4"/>
    <w:rsid w:val="00DC2096"/>
    <w:rsid w:val="00DC5809"/>
    <w:rsid w:val="00DC6823"/>
    <w:rsid w:val="00DD04D8"/>
    <w:rsid w:val="00DD0F8A"/>
    <w:rsid w:val="00DD2A7A"/>
    <w:rsid w:val="00DD5824"/>
    <w:rsid w:val="00DE1A7B"/>
    <w:rsid w:val="00DE1FD2"/>
    <w:rsid w:val="00DE628A"/>
    <w:rsid w:val="00DF0078"/>
    <w:rsid w:val="00DF1394"/>
    <w:rsid w:val="00DF1D13"/>
    <w:rsid w:val="00DF2982"/>
    <w:rsid w:val="00DF3CEF"/>
    <w:rsid w:val="00E10422"/>
    <w:rsid w:val="00E132B5"/>
    <w:rsid w:val="00E23D4D"/>
    <w:rsid w:val="00E24308"/>
    <w:rsid w:val="00E26910"/>
    <w:rsid w:val="00E343AA"/>
    <w:rsid w:val="00E34C80"/>
    <w:rsid w:val="00E420F1"/>
    <w:rsid w:val="00E44319"/>
    <w:rsid w:val="00E45712"/>
    <w:rsid w:val="00E45980"/>
    <w:rsid w:val="00E51672"/>
    <w:rsid w:val="00E51C85"/>
    <w:rsid w:val="00E53673"/>
    <w:rsid w:val="00E544D0"/>
    <w:rsid w:val="00E553FF"/>
    <w:rsid w:val="00E623F7"/>
    <w:rsid w:val="00E62F6F"/>
    <w:rsid w:val="00E70839"/>
    <w:rsid w:val="00E7268B"/>
    <w:rsid w:val="00E731AE"/>
    <w:rsid w:val="00E76D08"/>
    <w:rsid w:val="00E776FB"/>
    <w:rsid w:val="00E8083F"/>
    <w:rsid w:val="00E81ACB"/>
    <w:rsid w:val="00E8341A"/>
    <w:rsid w:val="00E91AB5"/>
    <w:rsid w:val="00E94A28"/>
    <w:rsid w:val="00E95274"/>
    <w:rsid w:val="00E95E1C"/>
    <w:rsid w:val="00E97937"/>
    <w:rsid w:val="00EA2885"/>
    <w:rsid w:val="00EA5221"/>
    <w:rsid w:val="00EA5A77"/>
    <w:rsid w:val="00EB043E"/>
    <w:rsid w:val="00EB4641"/>
    <w:rsid w:val="00EB67F2"/>
    <w:rsid w:val="00EC1292"/>
    <w:rsid w:val="00EC3DAF"/>
    <w:rsid w:val="00ED29E7"/>
    <w:rsid w:val="00ED6834"/>
    <w:rsid w:val="00ED7257"/>
    <w:rsid w:val="00EE1B5F"/>
    <w:rsid w:val="00EE5A5B"/>
    <w:rsid w:val="00EE78BC"/>
    <w:rsid w:val="00EF0422"/>
    <w:rsid w:val="00EF2098"/>
    <w:rsid w:val="00EF4A5A"/>
    <w:rsid w:val="00EF5671"/>
    <w:rsid w:val="00F02437"/>
    <w:rsid w:val="00F04A32"/>
    <w:rsid w:val="00F0559D"/>
    <w:rsid w:val="00F139FB"/>
    <w:rsid w:val="00F13B09"/>
    <w:rsid w:val="00F146C5"/>
    <w:rsid w:val="00F31141"/>
    <w:rsid w:val="00F3307E"/>
    <w:rsid w:val="00F338F7"/>
    <w:rsid w:val="00F33CC1"/>
    <w:rsid w:val="00F36911"/>
    <w:rsid w:val="00F3789B"/>
    <w:rsid w:val="00F4610D"/>
    <w:rsid w:val="00F46148"/>
    <w:rsid w:val="00F47FD2"/>
    <w:rsid w:val="00F50687"/>
    <w:rsid w:val="00F5333D"/>
    <w:rsid w:val="00F57639"/>
    <w:rsid w:val="00F5794D"/>
    <w:rsid w:val="00F63AB6"/>
    <w:rsid w:val="00F67E62"/>
    <w:rsid w:val="00F72A64"/>
    <w:rsid w:val="00F80B87"/>
    <w:rsid w:val="00F85242"/>
    <w:rsid w:val="00F86308"/>
    <w:rsid w:val="00F95007"/>
    <w:rsid w:val="00F95BBC"/>
    <w:rsid w:val="00F97F09"/>
    <w:rsid w:val="00FB0E35"/>
    <w:rsid w:val="00FB11AC"/>
    <w:rsid w:val="00FB14D5"/>
    <w:rsid w:val="00FB5367"/>
    <w:rsid w:val="00FB744E"/>
    <w:rsid w:val="00FB7D62"/>
    <w:rsid w:val="00FD2ADE"/>
    <w:rsid w:val="00FD2EC9"/>
    <w:rsid w:val="00FD4A81"/>
    <w:rsid w:val="00FD4ECC"/>
    <w:rsid w:val="00FD63A5"/>
    <w:rsid w:val="00FD71B9"/>
    <w:rsid w:val="00FE0ABC"/>
    <w:rsid w:val="00FE43A1"/>
    <w:rsid w:val="00FF2D14"/>
    <w:rsid w:val="00FF657E"/>
    <w:rsid w:val="00FF71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B3FE"/>
  <w15:docId w15:val="{D5CC69A6-9DDE-4A67-A13D-D96F46E7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390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3901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A210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4401F3"/>
    <w:pPr>
      <w:keepNext/>
      <w:keepLines/>
      <w:spacing w:before="200" w:after="0"/>
      <w:outlineLvl w:val="3"/>
    </w:pPr>
    <w:rPr>
      <w:rFonts w:asciiTheme="majorHAnsi" w:eastAsiaTheme="majorEastAsia" w:hAnsiTheme="majorHAnsi" w:cstheme="majorBidi"/>
      <w:b/>
      <w:bCs/>
      <w:i/>
      <w:iCs/>
      <w:color w:val="5B9BD5" w:themeColor="accent1"/>
    </w:rPr>
  </w:style>
  <w:style w:type="paragraph" w:styleId="Cmsor5">
    <w:name w:val="heading 5"/>
    <w:basedOn w:val="Norml"/>
    <w:next w:val="Norml"/>
    <w:link w:val="Cmsor5Char"/>
    <w:uiPriority w:val="9"/>
    <w:unhideWhenUsed/>
    <w:qFormat/>
    <w:rsid w:val="004401F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B0E35"/>
    <w:pPr>
      <w:tabs>
        <w:tab w:val="center" w:pos="4536"/>
        <w:tab w:val="right" w:pos="9072"/>
      </w:tabs>
      <w:spacing w:after="0" w:line="240" w:lineRule="auto"/>
    </w:pPr>
  </w:style>
  <w:style w:type="character" w:customStyle="1" w:styleId="lfejChar">
    <w:name w:val="Élőfej Char"/>
    <w:basedOn w:val="Bekezdsalapbettpusa"/>
    <w:link w:val="lfej"/>
    <w:uiPriority w:val="99"/>
    <w:rsid w:val="00FB0E35"/>
  </w:style>
  <w:style w:type="paragraph" w:styleId="llb">
    <w:name w:val="footer"/>
    <w:basedOn w:val="Norml"/>
    <w:link w:val="llbChar"/>
    <w:uiPriority w:val="99"/>
    <w:unhideWhenUsed/>
    <w:rsid w:val="00FB0E35"/>
    <w:pPr>
      <w:tabs>
        <w:tab w:val="center" w:pos="4536"/>
        <w:tab w:val="right" w:pos="9072"/>
      </w:tabs>
      <w:spacing w:after="0" w:line="240" w:lineRule="auto"/>
    </w:pPr>
  </w:style>
  <w:style w:type="character" w:customStyle="1" w:styleId="llbChar">
    <w:name w:val="Élőláb Char"/>
    <w:basedOn w:val="Bekezdsalapbettpusa"/>
    <w:link w:val="llb"/>
    <w:uiPriority w:val="99"/>
    <w:rsid w:val="00FB0E35"/>
  </w:style>
  <w:style w:type="character" w:customStyle="1" w:styleId="Cmsor2Char">
    <w:name w:val="Címsor 2 Char"/>
    <w:basedOn w:val="Bekezdsalapbettpusa"/>
    <w:link w:val="Cmsor2"/>
    <w:uiPriority w:val="9"/>
    <w:rsid w:val="00390130"/>
    <w:rPr>
      <w:rFonts w:asciiTheme="majorHAnsi" w:eastAsiaTheme="majorEastAsia" w:hAnsiTheme="majorHAnsi" w:cstheme="majorBidi"/>
      <w:color w:val="2E74B5" w:themeColor="accent1" w:themeShade="BF"/>
      <w:sz w:val="26"/>
      <w:szCs w:val="26"/>
    </w:rPr>
  </w:style>
  <w:style w:type="character" w:customStyle="1" w:styleId="Cmsor1Char">
    <w:name w:val="Címsor 1 Char"/>
    <w:basedOn w:val="Bekezdsalapbettpusa"/>
    <w:link w:val="Cmsor1"/>
    <w:uiPriority w:val="9"/>
    <w:rsid w:val="00390130"/>
    <w:rPr>
      <w:rFonts w:asciiTheme="majorHAnsi" w:eastAsiaTheme="majorEastAsia" w:hAnsiTheme="majorHAnsi" w:cstheme="majorBidi"/>
      <w:color w:val="2E74B5" w:themeColor="accent1" w:themeShade="BF"/>
      <w:sz w:val="32"/>
      <w:szCs w:val="32"/>
    </w:rPr>
  </w:style>
  <w:style w:type="table" w:styleId="Rcsostblzat">
    <w:name w:val="Table Grid"/>
    <w:basedOn w:val="Normltblzat"/>
    <w:uiPriority w:val="39"/>
    <w:rsid w:val="00A1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A125D4"/>
    <w:pPr>
      <w:ind w:left="720"/>
      <w:contextualSpacing/>
    </w:pPr>
  </w:style>
  <w:style w:type="paragraph" w:styleId="Lbjegyzetszveg">
    <w:name w:val="footnote text"/>
    <w:aliases w:val="Footnote,Lábjegyzetszöveg Char2 Char,Lábjegyzetszöveg Char Char Char,Lábjegyzetszöveg Char1 Char Char Char,Lábjegyzetszöveg Char2 Char Char1 Char Char,Lábjegyzetszöveg Char Char Char Char Char Char Char"/>
    <w:basedOn w:val="Norml"/>
    <w:link w:val="LbjegyzetszvegChar"/>
    <w:uiPriority w:val="99"/>
    <w:unhideWhenUsed/>
    <w:rsid w:val="0000404D"/>
    <w:pPr>
      <w:spacing w:after="0" w:line="240" w:lineRule="auto"/>
    </w:pPr>
    <w:rPr>
      <w:sz w:val="20"/>
      <w:szCs w:val="20"/>
    </w:rPr>
  </w:style>
  <w:style w:type="character" w:customStyle="1" w:styleId="LbjegyzetszvegChar">
    <w:name w:val="Lábjegyzetszöveg Char"/>
    <w:aliases w:val="Footnote Char,Lábjegyzetszöveg Char2 Char Char,Lábjegyzetszöveg Char Char Char Char,Lábjegyzetszöveg Char1 Char Char Char Char,Lábjegyzetszöveg Char2 Char Char1 Char Char Char"/>
    <w:basedOn w:val="Bekezdsalapbettpusa"/>
    <w:link w:val="Lbjegyzetszveg"/>
    <w:uiPriority w:val="99"/>
    <w:rsid w:val="0000404D"/>
    <w:rPr>
      <w:sz w:val="20"/>
      <w:szCs w:val="20"/>
    </w:rPr>
  </w:style>
  <w:style w:type="character" w:styleId="Lbjegyzet-hivatkozs">
    <w:name w:val="footnote reference"/>
    <w:basedOn w:val="Bekezdsalapbettpusa"/>
    <w:uiPriority w:val="99"/>
    <w:unhideWhenUsed/>
    <w:rsid w:val="0000404D"/>
    <w:rPr>
      <w:vertAlign w:val="superscript"/>
    </w:rPr>
  </w:style>
  <w:style w:type="character" w:styleId="Hiperhivatkozs">
    <w:name w:val="Hyperlink"/>
    <w:basedOn w:val="Bekezdsalapbettpusa"/>
    <w:uiPriority w:val="99"/>
    <w:unhideWhenUsed/>
    <w:rsid w:val="0000404D"/>
    <w:rPr>
      <w:color w:val="0563C1" w:themeColor="hyperlink"/>
      <w:u w:val="single"/>
    </w:rPr>
  </w:style>
  <w:style w:type="paragraph" w:styleId="Buborkszveg">
    <w:name w:val="Balloon Text"/>
    <w:basedOn w:val="Norml"/>
    <w:link w:val="BuborkszvegChar"/>
    <w:uiPriority w:val="99"/>
    <w:semiHidden/>
    <w:unhideWhenUsed/>
    <w:rsid w:val="00F47FD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47FD2"/>
    <w:rPr>
      <w:rFonts w:ascii="Segoe UI" w:hAnsi="Segoe UI" w:cs="Segoe UI"/>
      <w:sz w:val="18"/>
      <w:szCs w:val="18"/>
    </w:rPr>
  </w:style>
  <w:style w:type="character" w:styleId="Jegyzethivatkozs">
    <w:name w:val="annotation reference"/>
    <w:basedOn w:val="Bekezdsalapbettpusa"/>
    <w:uiPriority w:val="99"/>
    <w:semiHidden/>
    <w:unhideWhenUsed/>
    <w:rsid w:val="00F47FD2"/>
    <w:rPr>
      <w:sz w:val="16"/>
      <w:szCs w:val="16"/>
    </w:rPr>
  </w:style>
  <w:style w:type="paragraph" w:styleId="Jegyzetszveg">
    <w:name w:val="annotation text"/>
    <w:basedOn w:val="Norml"/>
    <w:link w:val="JegyzetszvegChar"/>
    <w:uiPriority w:val="99"/>
    <w:semiHidden/>
    <w:unhideWhenUsed/>
    <w:rsid w:val="00F47FD2"/>
    <w:pPr>
      <w:spacing w:line="240" w:lineRule="auto"/>
    </w:pPr>
    <w:rPr>
      <w:sz w:val="20"/>
      <w:szCs w:val="20"/>
    </w:rPr>
  </w:style>
  <w:style w:type="character" w:customStyle="1" w:styleId="JegyzetszvegChar">
    <w:name w:val="Jegyzetszöveg Char"/>
    <w:basedOn w:val="Bekezdsalapbettpusa"/>
    <w:link w:val="Jegyzetszveg"/>
    <w:uiPriority w:val="99"/>
    <w:semiHidden/>
    <w:rsid w:val="00F47FD2"/>
    <w:rPr>
      <w:sz w:val="20"/>
      <w:szCs w:val="20"/>
    </w:rPr>
  </w:style>
  <w:style w:type="paragraph" w:styleId="Megjegyzstrgya">
    <w:name w:val="annotation subject"/>
    <w:basedOn w:val="Jegyzetszveg"/>
    <w:next w:val="Jegyzetszveg"/>
    <w:link w:val="MegjegyzstrgyaChar"/>
    <w:uiPriority w:val="99"/>
    <w:semiHidden/>
    <w:unhideWhenUsed/>
    <w:rsid w:val="00F47FD2"/>
    <w:rPr>
      <w:b/>
      <w:bCs/>
    </w:rPr>
  </w:style>
  <w:style w:type="character" w:customStyle="1" w:styleId="MegjegyzstrgyaChar">
    <w:name w:val="Megjegyzés tárgya Char"/>
    <w:basedOn w:val="JegyzetszvegChar"/>
    <w:link w:val="Megjegyzstrgya"/>
    <w:uiPriority w:val="99"/>
    <w:semiHidden/>
    <w:rsid w:val="00F47FD2"/>
    <w:rPr>
      <w:b/>
      <w:bCs/>
      <w:sz w:val="20"/>
      <w:szCs w:val="20"/>
    </w:rPr>
  </w:style>
  <w:style w:type="paragraph" w:styleId="Tartalomjegyzkcmsora">
    <w:name w:val="TOC Heading"/>
    <w:basedOn w:val="Cmsor1"/>
    <w:next w:val="Norml"/>
    <w:uiPriority w:val="39"/>
    <w:unhideWhenUsed/>
    <w:qFormat/>
    <w:rsid w:val="000B6DAE"/>
    <w:pPr>
      <w:outlineLvl w:val="9"/>
    </w:pPr>
    <w:rPr>
      <w:lang w:eastAsia="hu-HU"/>
    </w:rPr>
  </w:style>
  <w:style w:type="paragraph" w:styleId="TJ1">
    <w:name w:val="toc 1"/>
    <w:basedOn w:val="Norml"/>
    <w:next w:val="Norml"/>
    <w:autoRedefine/>
    <w:uiPriority w:val="39"/>
    <w:unhideWhenUsed/>
    <w:rsid w:val="000B6DAE"/>
    <w:pPr>
      <w:spacing w:after="100"/>
    </w:pPr>
  </w:style>
  <w:style w:type="paragraph" w:styleId="TJ2">
    <w:name w:val="toc 2"/>
    <w:basedOn w:val="Norml"/>
    <w:next w:val="Norml"/>
    <w:autoRedefine/>
    <w:uiPriority w:val="39"/>
    <w:unhideWhenUsed/>
    <w:rsid w:val="000B6DAE"/>
    <w:pPr>
      <w:spacing w:after="100"/>
      <w:ind w:left="220"/>
    </w:pPr>
  </w:style>
  <w:style w:type="paragraph" w:styleId="Nincstrkz">
    <w:name w:val="No Spacing"/>
    <w:link w:val="NincstrkzChar"/>
    <w:uiPriority w:val="1"/>
    <w:qFormat/>
    <w:rsid w:val="00031A4F"/>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031A4F"/>
    <w:rPr>
      <w:rFonts w:eastAsiaTheme="minorEastAsia"/>
      <w:lang w:eastAsia="hu-HU"/>
    </w:rPr>
  </w:style>
  <w:style w:type="character" w:customStyle="1" w:styleId="Cmsor3Char">
    <w:name w:val="Címsor 3 Char"/>
    <w:basedOn w:val="Bekezdsalapbettpusa"/>
    <w:link w:val="Cmsor3"/>
    <w:uiPriority w:val="9"/>
    <w:rsid w:val="00A21057"/>
    <w:rPr>
      <w:rFonts w:asciiTheme="majorHAnsi" w:eastAsiaTheme="majorEastAsia" w:hAnsiTheme="majorHAnsi" w:cstheme="majorBidi"/>
      <w:color w:val="1F4D78" w:themeColor="accent1" w:themeShade="7F"/>
      <w:sz w:val="24"/>
      <w:szCs w:val="24"/>
    </w:rPr>
  </w:style>
  <w:style w:type="paragraph" w:styleId="TJ3">
    <w:name w:val="toc 3"/>
    <w:basedOn w:val="Norml"/>
    <w:next w:val="Norml"/>
    <w:autoRedefine/>
    <w:uiPriority w:val="39"/>
    <w:unhideWhenUsed/>
    <w:rsid w:val="000A252C"/>
    <w:pPr>
      <w:spacing w:after="100"/>
      <w:ind w:left="440"/>
    </w:pPr>
  </w:style>
  <w:style w:type="paragraph" w:styleId="Kpalrs">
    <w:name w:val="caption"/>
    <w:basedOn w:val="Norml"/>
    <w:next w:val="Norml"/>
    <w:uiPriority w:val="35"/>
    <w:unhideWhenUsed/>
    <w:qFormat/>
    <w:rsid w:val="004A1F1C"/>
    <w:pPr>
      <w:spacing w:after="200" w:line="240" w:lineRule="auto"/>
    </w:pPr>
    <w:rPr>
      <w:i/>
      <w:iCs/>
      <w:color w:val="44546A" w:themeColor="text2"/>
      <w:sz w:val="18"/>
      <w:szCs w:val="18"/>
    </w:rPr>
  </w:style>
  <w:style w:type="character" w:customStyle="1" w:styleId="Cmsor4Char">
    <w:name w:val="Címsor 4 Char"/>
    <w:basedOn w:val="Bekezdsalapbettpusa"/>
    <w:link w:val="Cmsor4"/>
    <w:uiPriority w:val="9"/>
    <w:rsid w:val="004401F3"/>
    <w:rPr>
      <w:rFonts w:asciiTheme="majorHAnsi" w:eastAsiaTheme="majorEastAsia" w:hAnsiTheme="majorHAnsi" w:cstheme="majorBidi"/>
      <w:b/>
      <w:bCs/>
      <w:i/>
      <w:iCs/>
      <w:color w:val="5B9BD5" w:themeColor="accent1"/>
    </w:rPr>
  </w:style>
  <w:style w:type="character" w:customStyle="1" w:styleId="Cmsor5Char">
    <w:name w:val="Címsor 5 Char"/>
    <w:basedOn w:val="Bekezdsalapbettpusa"/>
    <w:link w:val="Cmsor5"/>
    <w:uiPriority w:val="9"/>
    <w:rsid w:val="004401F3"/>
    <w:rPr>
      <w:rFonts w:asciiTheme="majorHAnsi" w:eastAsiaTheme="majorEastAsia" w:hAnsiTheme="majorHAnsi" w:cstheme="majorBidi"/>
      <w:color w:val="1F4D78" w:themeColor="accent1" w:themeShade="7F"/>
    </w:rPr>
  </w:style>
  <w:style w:type="character" w:styleId="Mrltotthiperhivatkozs">
    <w:name w:val="FollowedHyperlink"/>
    <w:basedOn w:val="Bekezdsalapbettpusa"/>
    <w:uiPriority w:val="99"/>
    <w:semiHidden/>
    <w:unhideWhenUsed/>
    <w:rsid w:val="00E623F7"/>
    <w:rPr>
      <w:color w:val="954F72" w:themeColor="followedHyperlink"/>
      <w:u w:val="single"/>
    </w:rPr>
  </w:style>
  <w:style w:type="character" w:customStyle="1" w:styleId="apple-converted-space">
    <w:name w:val="apple-converted-space"/>
    <w:basedOn w:val="Bekezdsalapbettpusa"/>
    <w:rsid w:val="00481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917">
      <w:bodyDiv w:val="1"/>
      <w:marLeft w:val="0"/>
      <w:marRight w:val="0"/>
      <w:marTop w:val="0"/>
      <w:marBottom w:val="0"/>
      <w:divBdr>
        <w:top w:val="none" w:sz="0" w:space="0" w:color="auto"/>
        <w:left w:val="none" w:sz="0" w:space="0" w:color="auto"/>
        <w:bottom w:val="none" w:sz="0" w:space="0" w:color="auto"/>
        <w:right w:val="none" w:sz="0" w:space="0" w:color="auto"/>
      </w:divBdr>
    </w:div>
    <w:div w:id="70852998">
      <w:bodyDiv w:val="1"/>
      <w:marLeft w:val="0"/>
      <w:marRight w:val="0"/>
      <w:marTop w:val="0"/>
      <w:marBottom w:val="0"/>
      <w:divBdr>
        <w:top w:val="none" w:sz="0" w:space="0" w:color="auto"/>
        <w:left w:val="none" w:sz="0" w:space="0" w:color="auto"/>
        <w:bottom w:val="none" w:sz="0" w:space="0" w:color="auto"/>
        <w:right w:val="none" w:sz="0" w:space="0" w:color="auto"/>
      </w:divBdr>
    </w:div>
    <w:div w:id="324551793">
      <w:bodyDiv w:val="1"/>
      <w:marLeft w:val="0"/>
      <w:marRight w:val="0"/>
      <w:marTop w:val="0"/>
      <w:marBottom w:val="0"/>
      <w:divBdr>
        <w:top w:val="none" w:sz="0" w:space="0" w:color="auto"/>
        <w:left w:val="none" w:sz="0" w:space="0" w:color="auto"/>
        <w:bottom w:val="none" w:sz="0" w:space="0" w:color="auto"/>
        <w:right w:val="none" w:sz="0" w:space="0" w:color="auto"/>
      </w:divBdr>
    </w:div>
    <w:div w:id="419259634">
      <w:bodyDiv w:val="1"/>
      <w:marLeft w:val="0"/>
      <w:marRight w:val="0"/>
      <w:marTop w:val="0"/>
      <w:marBottom w:val="0"/>
      <w:divBdr>
        <w:top w:val="none" w:sz="0" w:space="0" w:color="auto"/>
        <w:left w:val="none" w:sz="0" w:space="0" w:color="auto"/>
        <w:bottom w:val="none" w:sz="0" w:space="0" w:color="auto"/>
        <w:right w:val="none" w:sz="0" w:space="0" w:color="auto"/>
      </w:divBdr>
    </w:div>
    <w:div w:id="558369453">
      <w:bodyDiv w:val="1"/>
      <w:marLeft w:val="0"/>
      <w:marRight w:val="0"/>
      <w:marTop w:val="0"/>
      <w:marBottom w:val="0"/>
      <w:divBdr>
        <w:top w:val="none" w:sz="0" w:space="0" w:color="auto"/>
        <w:left w:val="none" w:sz="0" w:space="0" w:color="auto"/>
        <w:bottom w:val="none" w:sz="0" w:space="0" w:color="auto"/>
        <w:right w:val="none" w:sz="0" w:space="0" w:color="auto"/>
      </w:divBdr>
    </w:div>
    <w:div w:id="843327091">
      <w:bodyDiv w:val="1"/>
      <w:marLeft w:val="0"/>
      <w:marRight w:val="0"/>
      <w:marTop w:val="0"/>
      <w:marBottom w:val="0"/>
      <w:divBdr>
        <w:top w:val="none" w:sz="0" w:space="0" w:color="auto"/>
        <w:left w:val="none" w:sz="0" w:space="0" w:color="auto"/>
        <w:bottom w:val="none" w:sz="0" w:space="0" w:color="auto"/>
        <w:right w:val="none" w:sz="0" w:space="0" w:color="auto"/>
      </w:divBdr>
    </w:div>
    <w:div w:id="973020995">
      <w:bodyDiv w:val="1"/>
      <w:marLeft w:val="0"/>
      <w:marRight w:val="0"/>
      <w:marTop w:val="0"/>
      <w:marBottom w:val="0"/>
      <w:divBdr>
        <w:top w:val="none" w:sz="0" w:space="0" w:color="auto"/>
        <w:left w:val="none" w:sz="0" w:space="0" w:color="auto"/>
        <w:bottom w:val="none" w:sz="0" w:space="0" w:color="auto"/>
        <w:right w:val="none" w:sz="0" w:space="0" w:color="auto"/>
      </w:divBdr>
    </w:div>
    <w:div w:id="1005060187">
      <w:bodyDiv w:val="1"/>
      <w:marLeft w:val="0"/>
      <w:marRight w:val="0"/>
      <w:marTop w:val="0"/>
      <w:marBottom w:val="0"/>
      <w:divBdr>
        <w:top w:val="none" w:sz="0" w:space="0" w:color="auto"/>
        <w:left w:val="none" w:sz="0" w:space="0" w:color="auto"/>
        <w:bottom w:val="none" w:sz="0" w:space="0" w:color="auto"/>
        <w:right w:val="none" w:sz="0" w:space="0" w:color="auto"/>
      </w:divBdr>
    </w:div>
    <w:div w:id="1037966771">
      <w:bodyDiv w:val="1"/>
      <w:marLeft w:val="0"/>
      <w:marRight w:val="0"/>
      <w:marTop w:val="0"/>
      <w:marBottom w:val="0"/>
      <w:divBdr>
        <w:top w:val="none" w:sz="0" w:space="0" w:color="auto"/>
        <w:left w:val="none" w:sz="0" w:space="0" w:color="auto"/>
        <w:bottom w:val="none" w:sz="0" w:space="0" w:color="auto"/>
        <w:right w:val="none" w:sz="0" w:space="0" w:color="auto"/>
      </w:divBdr>
    </w:div>
    <w:div w:id="1169714193">
      <w:bodyDiv w:val="1"/>
      <w:marLeft w:val="0"/>
      <w:marRight w:val="0"/>
      <w:marTop w:val="0"/>
      <w:marBottom w:val="0"/>
      <w:divBdr>
        <w:top w:val="none" w:sz="0" w:space="0" w:color="auto"/>
        <w:left w:val="none" w:sz="0" w:space="0" w:color="auto"/>
        <w:bottom w:val="none" w:sz="0" w:space="0" w:color="auto"/>
        <w:right w:val="none" w:sz="0" w:space="0" w:color="auto"/>
      </w:divBdr>
    </w:div>
    <w:div w:id="1272936764">
      <w:bodyDiv w:val="1"/>
      <w:marLeft w:val="0"/>
      <w:marRight w:val="0"/>
      <w:marTop w:val="0"/>
      <w:marBottom w:val="0"/>
      <w:divBdr>
        <w:top w:val="none" w:sz="0" w:space="0" w:color="auto"/>
        <w:left w:val="none" w:sz="0" w:space="0" w:color="auto"/>
        <w:bottom w:val="none" w:sz="0" w:space="0" w:color="auto"/>
        <w:right w:val="none" w:sz="0" w:space="0" w:color="auto"/>
      </w:divBdr>
    </w:div>
    <w:div w:id="1278442839">
      <w:bodyDiv w:val="1"/>
      <w:marLeft w:val="0"/>
      <w:marRight w:val="0"/>
      <w:marTop w:val="0"/>
      <w:marBottom w:val="0"/>
      <w:divBdr>
        <w:top w:val="none" w:sz="0" w:space="0" w:color="auto"/>
        <w:left w:val="none" w:sz="0" w:space="0" w:color="auto"/>
        <w:bottom w:val="none" w:sz="0" w:space="0" w:color="auto"/>
        <w:right w:val="none" w:sz="0" w:space="0" w:color="auto"/>
      </w:divBdr>
    </w:div>
    <w:div w:id="1387416275">
      <w:bodyDiv w:val="1"/>
      <w:marLeft w:val="0"/>
      <w:marRight w:val="0"/>
      <w:marTop w:val="0"/>
      <w:marBottom w:val="0"/>
      <w:divBdr>
        <w:top w:val="none" w:sz="0" w:space="0" w:color="auto"/>
        <w:left w:val="none" w:sz="0" w:space="0" w:color="auto"/>
        <w:bottom w:val="none" w:sz="0" w:space="0" w:color="auto"/>
        <w:right w:val="none" w:sz="0" w:space="0" w:color="auto"/>
      </w:divBdr>
    </w:div>
    <w:div w:id="1395082533">
      <w:bodyDiv w:val="1"/>
      <w:marLeft w:val="0"/>
      <w:marRight w:val="0"/>
      <w:marTop w:val="0"/>
      <w:marBottom w:val="0"/>
      <w:divBdr>
        <w:top w:val="none" w:sz="0" w:space="0" w:color="auto"/>
        <w:left w:val="none" w:sz="0" w:space="0" w:color="auto"/>
        <w:bottom w:val="none" w:sz="0" w:space="0" w:color="auto"/>
        <w:right w:val="none" w:sz="0" w:space="0" w:color="auto"/>
      </w:divBdr>
    </w:div>
    <w:div w:id="1404792845">
      <w:bodyDiv w:val="1"/>
      <w:marLeft w:val="0"/>
      <w:marRight w:val="0"/>
      <w:marTop w:val="0"/>
      <w:marBottom w:val="0"/>
      <w:divBdr>
        <w:top w:val="none" w:sz="0" w:space="0" w:color="auto"/>
        <w:left w:val="none" w:sz="0" w:space="0" w:color="auto"/>
        <w:bottom w:val="none" w:sz="0" w:space="0" w:color="auto"/>
        <w:right w:val="none" w:sz="0" w:space="0" w:color="auto"/>
      </w:divBdr>
    </w:div>
    <w:div w:id="1412508051">
      <w:bodyDiv w:val="1"/>
      <w:marLeft w:val="0"/>
      <w:marRight w:val="0"/>
      <w:marTop w:val="0"/>
      <w:marBottom w:val="0"/>
      <w:divBdr>
        <w:top w:val="none" w:sz="0" w:space="0" w:color="auto"/>
        <w:left w:val="none" w:sz="0" w:space="0" w:color="auto"/>
        <w:bottom w:val="none" w:sz="0" w:space="0" w:color="auto"/>
        <w:right w:val="none" w:sz="0" w:space="0" w:color="auto"/>
      </w:divBdr>
    </w:div>
    <w:div w:id="1473913313">
      <w:bodyDiv w:val="1"/>
      <w:marLeft w:val="0"/>
      <w:marRight w:val="0"/>
      <w:marTop w:val="0"/>
      <w:marBottom w:val="0"/>
      <w:divBdr>
        <w:top w:val="none" w:sz="0" w:space="0" w:color="auto"/>
        <w:left w:val="none" w:sz="0" w:space="0" w:color="auto"/>
        <w:bottom w:val="none" w:sz="0" w:space="0" w:color="auto"/>
        <w:right w:val="none" w:sz="0" w:space="0" w:color="auto"/>
      </w:divBdr>
    </w:div>
    <w:div w:id="1610041937">
      <w:bodyDiv w:val="1"/>
      <w:marLeft w:val="0"/>
      <w:marRight w:val="0"/>
      <w:marTop w:val="0"/>
      <w:marBottom w:val="0"/>
      <w:divBdr>
        <w:top w:val="none" w:sz="0" w:space="0" w:color="auto"/>
        <w:left w:val="none" w:sz="0" w:space="0" w:color="auto"/>
        <w:bottom w:val="none" w:sz="0" w:space="0" w:color="auto"/>
        <w:right w:val="none" w:sz="0" w:space="0" w:color="auto"/>
      </w:divBdr>
      <w:divsChild>
        <w:div w:id="984705272">
          <w:marLeft w:val="0"/>
          <w:marRight w:val="0"/>
          <w:marTop w:val="0"/>
          <w:marBottom w:val="0"/>
          <w:divBdr>
            <w:top w:val="none" w:sz="0" w:space="0" w:color="auto"/>
            <w:left w:val="none" w:sz="0" w:space="0" w:color="auto"/>
            <w:bottom w:val="none" w:sz="0" w:space="0" w:color="auto"/>
            <w:right w:val="none" w:sz="0" w:space="0" w:color="auto"/>
          </w:divBdr>
        </w:div>
        <w:div w:id="661355459">
          <w:marLeft w:val="0"/>
          <w:marRight w:val="0"/>
          <w:marTop w:val="0"/>
          <w:marBottom w:val="0"/>
          <w:divBdr>
            <w:top w:val="none" w:sz="0" w:space="0" w:color="auto"/>
            <w:left w:val="none" w:sz="0" w:space="0" w:color="auto"/>
            <w:bottom w:val="none" w:sz="0" w:space="0" w:color="auto"/>
            <w:right w:val="none" w:sz="0" w:space="0" w:color="auto"/>
          </w:divBdr>
        </w:div>
        <w:div w:id="644357654">
          <w:marLeft w:val="0"/>
          <w:marRight w:val="0"/>
          <w:marTop w:val="0"/>
          <w:marBottom w:val="0"/>
          <w:divBdr>
            <w:top w:val="none" w:sz="0" w:space="0" w:color="auto"/>
            <w:left w:val="none" w:sz="0" w:space="0" w:color="auto"/>
            <w:bottom w:val="none" w:sz="0" w:space="0" w:color="auto"/>
            <w:right w:val="none" w:sz="0" w:space="0" w:color="auto"/>
          </w:divBdr>
        </w:div>
        <w:div w:id="1024131778">
          <w:marLeft w:val="0"/>
          <w:marRight w:val="0"/>
          <w:marTop w:val="0"/>
          <w:marBottom w:val="0"/>
          <w:divBdr>
            <w:top w:val="none" w:sz="0" w:space="0" w:color="auto"/>
            <w:left w:val="none" w:sz="0" w:space="0" w:color="auto"/>
            <w:bottom w:val="none" w:sz="0" w:space="0" w:color="auto"/>
            <w:right w:val="none" w:sz="0" w:space="0" w:color="auto"/>
          </w:divBdr>
        </w:div>
      </w:divsChild>
    </w:div>
    <w:div w:id="1622030373">
      <w:bodyDiv w:val="1"/>
      <w:marLeft w:val="0"/>
      <w:marRight w:val="0"/>
      <w:marTop w:val="0"/>
      <w:marBottom w:val="0"/>
      <w:divBdr>
        <w:top w:val="none" w:sz="0" w:space="0" w:color="auto"/>
        <w:left w:val="none" w:sz="0" w:space="0" w:color="auto"/>
        <w:bottom w:val="none" w:sz="0" w:space="0" w:color="auto"/>
        <w:right w:val="none" w:sz="0" w:space="0" w:color="auto"/>
      </w:divBdr>
    </w:div>
    <w:div w:id="1660033894">
      <w:bodyDiv w:val="1"/>
      <w:marLeft w:val="0"/>
      <w:marRight w:val="0"/>
      <w:marTop w:val="0"/>
      <w:marBottom w:val="0"/>
      <w:divBdr>
        <w:top w:val="none" w:sz="0" w:space="0" w:color="auto"/>
        <w:left w:val="none" w:sz="0" w:space="0" w:color="auto"/>
        <w:bottom w:val="none" w:sz="0" w:space="0" w:color="auto"/>
        <w:right w:val="none" w:sz="0" w:space="0" w:color="auto"/>
      </w:divBdr>
      <w:divsChild>
        <w:div w:id="1395884029">
          <w:marLeft w:val="0"/>
          <w:marRight w:val="0"/>
          <w:marTop w:val="0"/>
          <w:marBottom w:val="0"/>
          <w:divBdr>
            <w:top w:val="none" w:sz="0" w:space="0" w:color="auto"/>
            <w:left w:val="none" w:sz="0" w:space="0" w:color="auto"/>
            <w:bottom w:val="none" w:sz="0" w:space="0" w:color="auto"/>
            <w:right w:val="none" w:sz="0" w:space="0" w:color="auto"/>
          </w:divBdr>
        </w:div>
        <w:div w:id="1020663912">
          <w:marLeft w:val="0"/>
          <w:marRight w:val="0"/>
          <w:marTop w:val="0"/>
          <w:marBottom w:val="0"/>
          <w:divBdr>
            <w:top w:val="none" w:sz="0" w:space="0" w:color="auto"/>
            <w:left w:val="none" w:sz="0" w:space="0" w:color="auto"/>
            <w:bottom w:val="none" w:sz="0" w:space="0" w:color="auto"/>
            <w:right w:val="none" w:sz="0" w:space="0" w:color="auto"/>
          </w:divBdr>
        </w:div>
      </w:divsChild>
    </w:div>
    <w:div w:id="1666394426">
      <w:bodyDiv w:val="1"/>
      <w:marLeft w:val="0"/>
      <w:marRight w:val="0"/>
      <w:marTop w:val="0"/>
      <w:marBottom w:val="0"/>
      <w:divBdr>
        <w:top w:val="none" w:sz="0" w:space="0" w:color="auto"/>
        <w:left w:val="none" w:sz="0" w:space="0" w:color="auto"/>
        <w:bottom w:val="none" w:sz="0" w:space="0" w:color="auto"/>
        <w:right w:val="none" w:sz="0" w:space="0" w:color="auto"/>
      </w:divBdr>
    </w:div>
    <w:div w:id="1671834401">
      <w:bodyDiv w:val="1"/>
      <w:marLeft w:val="0"/>
      <w:marRight w:val="0"/>
      <w:marTop w:val="0"/>
      <w:marBottom w:val="0"/>
      <w:divBdr>
        <w:top w:val="none" w:sz="0" w:space="0" w:color="auto"/>
        <w:left w:val="none" w:sz="0" w:space="0" w:color="auto"/>
        <w:bottom w:val="none" w:sz="0" w:space="0" w:color="auto"/>
        <w:right w:val="none" w:sz="0" w:space="0" w:color="auto"/>
      </w:divBdr>
    </w:div>
    <w:div w:id="1697466189">
      <w:bodyDiv w:val="1"/>
      <w:marLeft w:val="0"/>
      <w:marRight w:val="0"/>
      <w:marTop w:val="0"/>
      <w:marBottom w:val="0"/>
      <w:divBdr>
        <w:top w:val="none" w:sz="0" w:space="0" w:color="auto"/>
        <w:left w:val="none" w:sz="0" w:space="0" w:color="auto"/>
        <w:bottom w:val="none" w:sz="0" w:space="0" w:color="auto"/>
        <w:right w:val="none" w:sz="0" w:space="0" w:color="auto"/>
      </w:divBdr>
    </w:div>
    <w:div w:id="1739209299">
      <w:bodyDiv w:val="1"/>
      <w:marLeft w:val="0"/>
      <w:marRight w:val="0"/>
      <w:marTop w:val="0"/>
      <w:marBottom w:val="0"/>
      <w:divBdr>
        <w:top w:val="none" w:sz="0" w:space="0" w:color="auto"/>
        <w:left w:val="none" w:sz="0" w:space="0" w:color="auto"/>
        <w:bottom w:val="none" w:sz="0" w:space="0" w:color="auto"/>
        <w:right w:val="none" w:sz="0" w:space="0" w:color="auto"/>
      </w:divBdr>
    </w:div>
    <w:div w:id="1739815121">
      <w:bodyDiv w:val="1"/>
      <w:marLeft w:val="0"/>
      <w:marRight w:val="0"/>
      <w:marTop w:val="0"/>
      <w:marBottom w:val="0"/>
      <w:divBdr>
        <w:top w:val="none" w:sz="0" w:space="0" w:color="auto"/>
        <w:left w:val="none" w:sz="0" w:space="0" w:color="auto"/>
        <w:bottom w:val="none" w:sz="0" w:space="0" w:color="auto"/>
        <w:right w:val="none" w:sz="0" w:space="0" w:color="auto"/>
      </w:divBdr>
    </w:div>
    <w:div w:id="1783769361">
      <w:bodyDiv w:val="1"/>
      <w:marLeft w:val="0"/>
      <w:marRight w:val="0"/>
      <w:marTop w:val="0"/>
      <w:marBottom w:val="0"/>
      <w:divBdr>
        <w:top w:val="none" w:sz="0" w:space="0" w:color="auto"/>
        <w:left w:val="none" w:sz="0" w:space="0" w:color="auto"/>
        <w:bottom w:val="none" w:sz="0" w:space="0" w:color="auto"/>
        <w:right w:val="none" w:sz="0" w:space="0" w:color="auto"/>
      </w:divBdr>
    </w:div>
    <w:div w:id="1785492811">
      <w:bodyDiv w:val="1"/>
      <w:marLeft w:val="0"/>
      <w:marRight w:val="0"/>
      <w:marTop w:val="0"/>
      <w:marBottom w:val="0"/>
      <w:divBdr>
        <w:top w:val="none" w:sz="0" w:space="0" w:color="auto"/>
        <w:left w:val="none" w:sz="0" w:space="0" w:color="auto"/>
        <w:bottom w:val="none" w:sz="0" w:space="0" w:color="auto"/>
        <w:right w:val="none" w:sz="0" w:space="0" w:color="auto"/>
      </w:divBdr>
    </w:div>
    <w:div w:id="20204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yperlink" Target="http://www.creativitycultureeducation.org/wp-content/uploads/ofsted-creative-partnerships-report-15-15.pdf" TargetMode="Externa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media/image3.png"/><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notes.xml.rels><?xml version="1.0" encoding="UTF-8" standalone="yes"?>
<Relationships xmlns="http://schemas.openxmlformats.org/package/2006/relationships"><Relationship Id="rId3" Type="http://schemas.openxmlformats.org/officeDocument/2006/relationships/hyperlink" Target="http://www.ccengland.org/reports" TargetMode="External"/><Relationship Id="rId2" Type="http://schemas.openxmlformats.org/officeDocument/2006/relationships/hyperlink" Target="http://www.creativitycultureeducation.org/the-signature-pedagogies-project" TargetMode="External"/><Relationship Id="rId1" Type="http://schemas.openxmlformats.org/officeDocument/2006/relationships/hyperlink" Target="http://www.creativitycultureeducation.org/the-impact-of-creative-partnerships-on-the-wellbeing-of-children-and-young-people" TargetMode="External"/><Relationship Id="rId5" Type="http://schemas.openxmlformats.org/officeDocument/2006/relationships/hyperlink" Target="http://negyedikesmeres.oh.gov.hu/2012/download/2012_teltip.pdf" TargetMode="External"/><Relationship Id="rId4" Type="http://schemas.openxmlformats.org/officeDocument/2006/relationships/hyperlink" Target="http://www.ccengland.or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embeddings/oleObject16.bin"/><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embeddings/oleObject17.bin"/><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oleObject" Target="../embeddings/oleObject18.bin"/><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[táblázatok.xlsx]Sheet1!$H$12</c:f>
              <c:strCache>
                <c:ptCount val="1"/>
                <c:pt idx="0">
                  <c:v>Bemeneti mérés</c:v>
                </c:pt>
              </c:strCache>
            </c:strRef>
          </c:tx>
          <c:spPr>
            <a:noFill/>
            <a:ln w="31750">
              <a:solidFill>
                <a:schemeClr val="accent3"/>
              </a:solidFill>
            </a:ln>
          </c:spPr>
          <c:invertIfNegative val="0"/>
          <c:cat>
            <c:multiLvlStrRef>
              <c:f>[táblázatok.xlsx]Sheet1!$F$13:$G$19</c:f>
              <c:multiLvlStrCache>
                <c:ptCount val="7"/>
                <c:lvl>
                  <c:pt idx="0">
                    <c:v>1-6 pozitív állítás</c:v>
                  </c:pt>
                  <c:pt idx="1">
                    <c:v>7-8 pozitív állítás</c:v>
                  </c:pt>
                  <c:pt idx="2">
                    <c:v>9-10 pozitív állítás</c:v>
                  </c:pt>
                  <c:pt idx="4">
                    <c:v>1-6 pozitív állítás</c:v>
                  </c:pt>
                  <c:pt idx="5">
                    <c:v>7-8 pozitív állítás</c:v>
                  </c:pt>
                  <c:pt idx="6">
                    <c:v>9-10 pozitív állítás</c:v>
                  </c:pt>
                </c:lvl>
                <c:lvl>
                  <c:pt idx="0">
                    <c:v>Kontroll csoport</c:v>
                  </c:pt>
                  <c:pt idx="3">
                    <c:v>&lt;--&gt;</c:v>
                  </c:pt>
                  <c:pt idx="4">
                    <c:v>Kísérleti csoport</c:v>
                  </c:pt>
                </c:lvl>
              </c:multiLvlStrCache>
            </c:multiLvlStrRef>
          </c:cat>
          <c:val>
            <c:numRef>
              <c:f>[táblázatok.xlsx]Sheet1!$H$13:$H$19</c:f>
              <c:numCache>
                <c:formatCode>General</c:formatCode>
                <c:ptCount val="7"/>
                <c:pt idx="0">
                  <c:v>14</c:v>
                </c:pt>
                <c:pt idx="1">
                  <c:v>11</c:v>
                </c:pt>
                <c:pt idx="2">
                  <c:v>19</c:v>
                </c:pt>
                <c:pt idx="4">
                  <c:v>18</c:v>
                </c:pt>
                <c:pt idx="5">
                  <c:v>9</c:v>
                </c:pt>
                <c:pt idx="6">
                  <c:v>17</c:v>
                </c:pt>
              </c:numCache>
            </c:numRef>
          </c:val>
        </c:ser>
        <c:dLbls>
          <c:showLegendKey val="0"/>
          <c:showVal val="0"/>
          <c:showCatName val="0"/>
          <c:showSerName val="0"/>
          <c:showPercent val="0"/>
          <c:showBubbleSize val="0"/>
        </c:dLbls>
        <c:gapWidth val="39"/>
        <c:axId val="153293224"/>
        <c:axId val="154714840"/>
      </c:barChart>
      <c:barChart>
        <c:barDir val="col"/>
        <c:grouping val="clustered"/>
        <c:varyColors val="0"/>
        <c:ser>
          <c:idx val="1"/>
          <c:order val="1"/>
          <c:tx>
            <c:strRef>
              <c:f>[táblázatok.xlsx]Sheet1!$I$12</c:f>
              <c:strCache>
                <c:ptCount val="1"/>
                <c:pt idx="0">
                  <c:v>Kimeneti mérés</c:v>
                </c:pt>
              </c:strCache>
            </c:strRef>
          </c:tx>
          <c:spPr>
            <a:solidFill>
              <a:schemeClr val="tx2">
                <a:lumMod val="60000"/>
                <a:lumOff val="40000"/>
              </a:schemeClr>
            </a:solidFill>
          </c:spPr>
          <c:invertIfNegative val="0"/>
          <c:dLbls>
            <c:dLbl>
              <c:idx val="0"/>
              <c:layout>
                <c:manualLayout>
                  <c:x val="0"/>
                  <c:y val="7.89844734945934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659968697030343E-17"/>
                  <c:y val="6.77009772810801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659968697030343E-17"/>
                  <c:y val="7.89844734945935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319937394060687E-17"/>
                  <c:y val="8.27456388990980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5319937394060687E-17"/>
                  <c:y val="7.89844734945934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9.402913511261136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[táblázatok.xlsx]Sheet1!$F$13:$G$19</c:f>
              <c:multiLvlStrCache>
                <c:ptCount val="7"/>
                <c:lvl>
                  <c:pt idx="0">
                    <c:v>1-6 pozitív állítás</c:v>
                  </c:pt>
                  <c:pt idx="1">
                    <c:v>7-8 pozitív állítás</c:v>
                  </c:pt>
                  <c:pt idx="2">
                    <c:v>9-10 pozitív állítás</c:v>
                  </c:pt>
                  <c:pt idx="4">
                    <c:v>1-6 pozitív állítás</c:v>
                  </c:pt>
                  <c:pt idx="5">
                    <c:v>7-8 pozitív állítás</c:v>
                  </c:pt>
                  <c:pt idx="6">
                    <c:v>9-10 pozitív állítás</c:v>
                  </c:pt>
                </c:lvl>
                <c:lvl>
                  <c:pt idx="0">
                    <c:v>Kontroll csoport</c:v>
                  </c:pt>
                  <c:pt idx="3">
                    <c:v>&lt;--&gt;</c:v>
                  </c:pt>
                  <c:pt idx="4">
                    <c:v>Kísérleti csoport</c:v>
                  </c:pt>
                </c:lvl>
              </c:multiLvlStrCache>
            </c:multiLvlStrRef>
          </c:cat>
          <c:val>
            <c:numRef>
              <c:f>[táblázatok.xlsx]Sheet1!$I$13:$I$19</c:f>
              <c:numCache>
                <c:formatCode>General</c:formatCode>
                <c:ptCount val="7"/>
                <c:pt idx="0">
                  <c:v>13</c:v>
                </c:pt>
                <c:pt idx="1">
                  <c:v>9</c:v>
                </c:pt>
                <c:pt idx="2">
                  <c:v>22</c:v>
                </c:pt>
                <c:pt idx="4">
                  <c:v>12</c:v>
                </c:pt>
                <c:pt idx="5">
                  <c:v>8</c:v>
                </c:pt>
                <c:pt idx="6">
                  <c:v>24</c:v>
                </c:pt>
              </c:numCache>
            </c:numRef>
          </c:val>
        </c:ser>
        <c:dLbls>
          <c:showLegendKey val="0"/>
          <c:showVal val="0"/>
          <c:showCatName val="0"/>
          <c:showSerName val="0"/>
          <c:showPercent val="0"/>
          <c:showBubbleSize val="0"/>
        </c:dLbls>
        <c:gapWidth val="150"/>
        <c:axId val="154715624"/>
        <c:axId val="154715232"/>
      </c:barChart>
      <c:catAx>
        <c:axId val="153293224"/>
        <c:scaling>
          <c:orientation val="minMax"/>
        </c:scaling>
        <c:delete val="0"/>
        <c:axPos val="b"/>
        <c:numFmt formatCode="General" sourceLinked="0"/>
        <c:majorTickMark val="out"/>
        <c:minorTickMark val="none"/>
        <c:tickLblPos val="nextTo"/>
        <c:txPr>
          <a:bodyPr/>
          <a:lstStyle/>
          <a:p>
            <a:pPr>
              <a:defRPr sz="900"/>
            </a:pPr>
            <a:endParaRPr lang="hu-HU"/>
          </a:p>
        </c:txPr>
        <c:crossAx val="154714840"/>
        <c:crosses val="autoZero"/>
        <c:auto val="1"/>
        <c:lblAlgn val="ctr"/>
        <c:lblOffset val="100"/>
        <c:noMultiLvlLbl val="0"/>
      </c:catAx>
      <c:valAx>
        <c:axId val="154714840"/>
        <c:scaling>
          <c:orientation val="minMax"/>
          <c:max val="30"/>
        </c:scaling>
        <c:delete val="0"/>
        <c:axPos val="l"/>
        <c:majorGridlines/>
        <c:numFmt formatCode="General" sourceLinked="1"/>
        <c:majorTickMark val="out"/>
        <c:minorTickMark val="none"/>
        <c:tickLblPos val="nextTo"/>
        <c:crossAx val="153293224"/>
        <c:crosses val="autoZero"/>
        <c:crossBetween val="between"/>
      </c:valAx>
      <c:valAx>
        <c:axId val="154715232"/>
        <c:scaling>
          <c:orientation val="minMax"/>
        </c:scaling>
        <c:delete val="1"/>
        <c:axPos val="r"/>
        <c:numFmt formatCode="General" sourceLinked="1"/>
        <c:majorTickMark val="out"/>
        <c:minorTickMark val="none"/>
        <c:tickLblPos val="nextTo"/>
        <c:crossAx val="154715624"/>
        <c:crosses val="max"/>
        <c:crossBetween val="between"/>
      </c:valAx>
      <c:catAx>
        <c:axId val="154715624"/>
        <c:scaling>
          <c:orientation val="minMax"/>
        </c:scaling>
        <c:delete val="1"/>
        <c:axPos val="b"/>
        <c:numFmt formatCode="General" sourceLinked="1"/>
        <c:majorTickMark val="out"/>
        <c:minorTickMark val="none"/>
        <c:tickLblPos val="nextTo"/>
        <c:crossAx val="154715232"/>
        <c:crosses val="autoZero"/>
        <c:auto val="1"/>
        <c:lblAlgn val="ctr"/>
        <c:lblOffset val="100"/>
        <c:noMultiLvlLbl val="0"/>
      </c:catAx>
    </c:plotArea>
    <c:legend>
      <c:legendPos val="r"/>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[táblázatok_2.xlsx]Munka2!$B$1</c:f>
              <c:strCache>
                <c:ptCount val="1"/>
                <c:pt idx="0">
                  <c:v>0-6 pozitív állítás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[táblázatok_2.xlsx]Munka2!$A$2:$A$6</c:f>
              <c:strCache>
                <c:ptCount val="5"/>
                <c:pt idx="0">
                  <c:v>Gyárvárosi – kontroll</c:v>
                </c:pt>
                <c:pt idx="1">
                  <c:v>Meszes – kontroll</c:v>
                </c:pt>
                <c:pt idx="2">
                  <c:v>Meszes – kísérleti</c:v>
                </c:pt>
                <c:pt idx="3">
                  <c:v>Somogy – kísérleti</c:v>
                </c:pt>
                <c:pt idx="4">
                  <c:v>Bártfa – kísérleti</c:v>
                </c:pt>
              </c:strCache>
            </c:strRef>
          </c:cat>
          <c:val>
            <c:numRef>
              <c:f>[táblázatok_2.xlsx]Munka2!$H$2:$H$6</c:f>
              <c:numCache>
                <c:formatCode>0%</c:formatCode>
                <c:ptCount val="5"/>
                <c:pt idx="0">
                  <c:v>0.29411764705882354</c:v>
                </c:pt>
                <c:pt idx="1">
                  <c:v>0.18518518518518517</c:v>
                </c:pt>
                <c:pt idx="2">
                  <c:v>0.3888888888888889</c:v>
                </c:pt>
                <c:pt idx="3">
                  <c:v>0.75</c:v>
                </c:pt>
                <c:pt idx="4">
                  <c:v>0.33333333333333331</c:v>
                </c:pt>
              </c:numCache>
            </c:numRef>
          </c:val>
        </c:ser>
        <c:ser>
          <c:idx val="1"/>
          <c:order val="1"/>
          <c:tx>
            <c:strRef>
              <c:f>[táblázatok_2.xlsx]Munka2!$C$1</c:f>
              <c:strCache>
                <c:ptCount val="1"/>
                <c:pt idx="0">
                  <c:v>7 pozitív állítás</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[táblázatok_2.xlsx]Munka2!$A$2:$A$6</c:f>
              <c:strCache>
                <c:ptCount val="5"/>
                <c:pt idx="0">
                  <c:v>Gyárvárosi – kontroll</c:v>
                </c:pt>
                <c:pt idx="1">
                  <c:v>Meszes – kontroll</c:v>
                </c:pt>
                <c:pt idx="2">
                  <c:v>Meszes – kísérleti</c:v>
                </c:pt>
                <c:pt idx="3">
                  <c:v>Somogy – kísérleti</c:v>
                </c:pt>
                <c:pt idx="4">
                  <c:v>Bártfa – kísérleti</c:v>
                </c:pt>
              </c:strCache>
            </c:strRef>
          </c:cat>
          <c:val>
            <c:numRef>
              <c:f>[táblázatok_2.xlsx]Munka2!$I$2:$I$6</c:f>
              <c:numCache>
                <c:formatCode>0%</c:formatCode>
                <c:ptCount val="5"/>
                <c:pt idx="0">
                  <c:v>0.17647058823529413</c:v>
                </c:pt>
                <c:pt idx="1">
                  <c:v>0.48148148148148145</c:v>
                </c:pt>
                <c:pt idx="2">
                  <c:v>0.27777777777777779</c:v>
                </c:pt>
                <c:pt idx="3">
                  <c:v>0.25</c:v>
                </c:pt>
                <c:pt idx="4">
                  <c:v>0.44444444444444442</c:v>
                </c:pt>
              </c:numCache>
            </c:numRef>
          </c:val>
        </c:ser>
        <c:ser>
          <c:idx val="2"/>
          <c:order val="2"/>
          <c:tx>
            <c:strRef>
              <c:f>[táblázatok_2.xlsx]Munka2!$D$1</c:f>
              <c:strCache>
                <c:ptCount val="1"/>
                <c:pt idx="0">
                  <c:v>8-9 pozitív állítás</c:v>
                </c:pt>
              </c:strCache>
            </c:strRef>
          </c:tx>
          <c:spPr>
            <a:solidFill>
              <a:schemeClr val="accent3"/>
            </a:solidFill>
            <a:ln>
              <a:noFill/>
            </a:ln>
            <a:effectLst/>
          </c:spPr>
          <c:invertIfNegative val="0"/>
          <c:dLbls>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[táblázatok_2.xlsx]Munka2!$A$2:$A$6</c:f>
              <c:strCache>
                <c:ptCount val="5"/>
                <c:pt idx="0">
                  <c:v>Gyárvárosi – kontroll</c:v>
                </c:pt>
                <c:pt idx="1">
                  <c:v>Meszes – kontroll</c:v>
                </c:pt>
                <c:pt idx="2">
                  <c:v>Meszes – kísérleti</c:v>
                </c:pt>
                <c:pt idx="3">
                  <c:v>Somogy – kísérleti</c:v>
                </c:pt>
                <c:pt idx="4">
                  <c:v>Bártfa – kísérleti</c:v>
                </c:pt>
              </c:strCache>
            </c:strRef>
          </c:cat>
          <c:val>
            <c:numRef>
              <c:f>[táblázatok_2.xlsx]Munka2!$J$2:$J$6</c:f>
              <c:numCache>
                <c:formatCode>0%</c:formatCode>
                <c:ptCount val="5"/>
                <c:pt idx="0">
                  <c:v>0.52941176470588236</c:v>
                </c:pt>
                <c:pt idx="1">
                  <c:v>0.33333333333333331</c:v>
                </c:pt>
                <c:pt idx="2">
                  <c:v>0.33333333333333331</c:v>
                </c:pt>
                <c:pt idx="3">
                  <c:v>0</c:v>
                </c:pt>
                <c:pt idx="4">
                  <c:v>0.22222222222222221</c:v>
                </c:pt>
              </c:numCache>
            </c:numRef>
          </c:val>
        </c:ser>
        <c:dLbls>
          <c:showLegendKey val="0"/>
          <c:showVal val="0"/>
          <c:showCatName val="0"/>
          <c:showSerName val="0"/>
          <c:showPercent val="0"/>
          <c:showBubbleSize val="0"/>
        </c:dLbls>
        <c:gapWidth val="150"/>
        <c:overlap val="100"/>
        <c:axId val="155777320"/>
        <c:axId val="155777712"/>
      </c:barChart>
      <c:catAx>
        <c:axId val="155777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5777712"/>
        <c:crosses val="autoZero"/>
        <c:auto val="1"/>
        <c:lblAlgn val="ctr"/>
        <c:lblOffset val="100"/>
        <c:noMultiLvlLbl val="0"/>
      </c:catAx>
      <c:valAx>
        <c:axId val="155777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5777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[táblázatok_2.xlsx]Munka2!$B$8</c:f>
              <c:strCache>
                <c:ptCount val="1"/>
                <c:pt idx="0">
                  <c:v>0-6 pozitív állítás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[táblázatok_2.xlsx]Munka2!$A$9:$A$13</c:f>
              <c:strCache>
                <c:ptCount val="5"/>
                <c:pt idx="0">
                  <c:v>Gyárvárosi – kontroll</c:v>
                </c:pt>
                <c:pt idx="1">
                  <c:v>Meszes – kontroll</c:v>
                </c:pt>
                <c:pt idx="2">
                  <c:v>Meszes – kísérleti</c:v>
                </c:pt>
                <c:pt idx="3">
                  <c:v>Somogy – kísérleti</c:v>
                </c:pt>
                <c:pt idx="4">
                  <c:v>Bártfa – kísérleti</c:v>
                </c:pt>
              </c:strCache>
            </c:strRef>
          </c:cat>
          <c:val>
            <c:numRef>
              <c:f>[táblázatok_2.xlsx]Munka2!$M$2:$M$6</c:f>
              <c:numCache>
                <c:formatCode>0%</c:formatCode>
                <c:ptCount val="5"/>
                <c:pt idx="0">
                  <c:v>0.23529411764705882</c:v>
                </c:pt>
                <c:pt idx="1">
                  <c:v>0.22222222222222221</c:v>
                </c:pt>
                <c:pt idx="2">
                  <c:v>0.27777777777777779</c:v>
                </c:pt>
                <c:pt idx="3">
                  <c:v>0.5</c:v>
                </c:pt>
                <c:pt idx="4">
                  <c:v>0.1111111111111111</c:v>
                </c:pt>
              </c:numCache>
            </c:numRef>
          </c:val>
        </c:ser>
        <c:ser>
          <c:idx val="1"/>
          <c:order val="1"/>
          <c:tx>
            <c:strRef>
              <c:f>[táblázatok_2.xlsx]Munka2!$C$8</c:f>
              <c:strCache>
                <c:ptCount val="1"/>
                <c:pt idx="0">
                  <c:v>7 pozitív állítás</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[táblázatok_2.xlsx]Munka2!$A$9:$A$13</c:f>
              <c:strCache>
                <c:ptCount val="5"/>
                <c:pt idx="0">
                  <c:v>Gyárvárosi – kontroll</c:v>
                </c:pt>
                <c:pt idx="1">
                  <c:v>Meszes – kontroll</c:v>
                </c:pt>
                <c:pt idx="2">
                  <c:v>Meszes – kísérleti</c:v>
                </c:pt>
                <c:pt idx="3">
                  <c:v>Somogy – kísérleti</c:v>
                </c:pt>
                <c:pt idx="4">
                  <c:v>Bártfa – kísérleti</c:v>
                </c:pt>
              </c:strCache>
            </c:strRef>
          </c:cat>
          <c:val>
            <c:numRef>
              <c:f>[táblázatok_2.xlsx]Munka2!$N$2:$N$6</c:f>
              <c:numCache>
                <c:formatCode>0%</c:formatCode>
                <c:ptCount val="5"/>
                <c:pt idx="0">
                  <c:v>5.8823529411764705E-2</c:v>
                </c:pt>
                <c:pt idx="1">
                  <c:v>0.1111111111111111</c:v>
                </c:pt>
                <c:pt idx="2">
                  <c:v>5.5555555555555552E-2</c:v>
                </c:pt>
                <c:pt idx="3">
                  <c:v>0.125</c:v>
                </c:pt>
                <c:pt idx="4">
                  <c:v>0.27777777777777779</c:v>
                </c:pt>
              </c:numCache>
            </c:numRef>
          </c:val>
        </c:ser>
        <c:ser>
          <c:idx val="2"/>
          <c:order val="2"/>
          <c:tx>
            <c:strRef>
              <c:f>[táblázatok_2.xlsx]Munka2!$D$8</c:f>
              <c:strCache>
                <c:ptCount val="1"/>
                <c:pt idx="0">
                  <c:v>8-9 pozitív állítás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[táblázatok_2.xlsx]Munka2!$A$9:$A$13</c:f>
              <c:strCache>
                <c:ptCount val="5"/>
                <c:pt idx="0">
                  <c:v>Gyárvárosi – kontroll</c:v>
                </c:pt>
                <c:pt idx="1">
                  <c:v>Meszes – kontroll</c:v>
                </c:pt>
                <c:pt idx="2">
                  <c:v>Meszes – kísérleti</c:v>
                </c:pt>
                <c:pt idx="3">
                  <c:v>Somogy – kísérleti</c:v>
                </c:pt>
                <c:pt idx="4">
                  <c:v>Bártfa – kísérleti</c:v>
                </c:pt>
              </c:strCache>
            </c:strRef>
          </c:cat>
          <c:val>
            <c:numRef>
              <c:f>[táblázatok_2.xlsx]Munka2!$O$2:$O$6</c:f>
              <c:numCache>
                <c:formatCode>0%</c:formatCode>
                <c:ptCount val="5"/>
                <c:pt idx="0">
                  <c:v>0.70588235294117652</c:v>
                </c:pt>
                <c:pt idx="1">
                  <c:v>0.66666666666666663</c:v>
                </c:pt>
                <c:pt idx="2">
                  <c:v>0.66666666666666663</c:v>
                </c:pt>
                <c:pt idx="3">
                  <c:v>0.375</c:v>
                </c:pt>
                <c:pt idx="4">
                  <c:v>0.61111111111111116</c:v>
                </c:pt>
              </c:numCache>
            </c:numRef>
          </c:val>
        </c:ser>
        <c:dLbls>
          <c:showLegendKey val="0"/>
          <c:showVal val="0"/>
          <c:showCatName val="0"/>
          <c:showSerName val="0"/>
          <c:showPercent val="0"/>
          <c:showBubbleSize val="0"/>
        </c:dLbls>
        <c:gapWidth val="150"/>
        <c:overlap val="100"/>
        <c:axId val="155545704"/>
        <c:axId val="155546096"/>
      </c:barChart>
      <c:catAx>
        <c:axId val="155545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5546096"/>
        <c:crosses val="autoZero"/>
        <c:auto val="1"/>
        <c:lblAlgn val="ctr"/>
        <c:lblOffset val="100"/>
        <c:noMultiLvlLbl val="0"/>
      </c:catAx>
      <c:valAx>
        <c:axId val="155546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5545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'[táblázatok_2.xlsx]Munka2 (2)'!$B$1</c:f>
              <c:strCache>
                <c:ptCount val="1"/>
                <c:pt idx="0">
                  <c:v>0-1 pozitív állítás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 (2)'!$A$2:$A$6</c:f>
              <c:strCache>
                <c:ptCount val="5"/>
                <c:pt idx="0">
                  <c:v>Gyárvárosi – kontroll</c:v>
                </c:pt>
                <c:pt idx="1">
                  <c:v>Meszes – kontroll</c:v>
                </c:pt>
                <c:pt idx="2">
                  <c:v>Meszes – kísérleti</c:v>
                </c:pt>
                <c:pt idx="3">
                  <c:v>Somogy – kísérleti</c:v>
                </c:pt>
                <c:pt idx="4">
                  <c:v>Bártfa – kísérleti</c:v>
                </c:pt>
              </c:strCache>
            </c:strRef>
          </c:cat>
          <c:val>
            <c:numRef>
              <c:f>'[táblázatok_2.xlsx]Munka2 (2)'!$H$2:$H$6</c:f>
              <c:numCache>
                <c:formatCode>0%</c:formatCode>
                <c:ptCount val="5"/>
                <c:pt idx="0">
                  <c:v>0.52941176470588236</c:v>
                </c:pt>
                <c:pt idx="1">
                  <c:v>0.29629629629629628</c:v>
                </c:pt>
                <c:pt idx="2">
                  <c:v>0.3888888888888889</c:v>
                </c:pt>
                <c:pt idx="3">
                  <c:v>0.375</c:v>
                </c:pt>
                <c:pt idx="4">
                  <c:v>0.3888888888888889</c:v>
                </c:pt>
              </c:numCache>
            </c:numRef>
          </c:val>
        </c:ser>
        <c:ser>
          <c:idx val="1"/>
          <c:order val="1"/>
          <c:tx>
            <c:strRef>
              <c:f>'[táblázatok_2.xlsx]Munka2 (2)'!$C$1</c:f>
              <c:strCache>
                <c:ptCount val="1"/>
                <c:pt idx="0">
                  <c:v>2-3 pozitív állítás</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 (2)'!$A$2:$A$6</c:f>
              <c:strCache>
                <c:ptCount val="5"/>
                <c:pt idx="0">
                  <c:v>Gyárvárosi – kontroll</c:v>
                </c:pt>
                <c:pt idx="1">
                  <c:v>Meszes – kontroll</c:v>
                </c:pt>
                <c:pt idx="2">
                  <c:v>Meszes – kísérleti</c:v>
                </c:pt>
                <c:pt idx="3">
                  <c:v>Somogy – kísérleti</c:v>
                </c:pt>
                <c:pt idx="4">
                  <c:v>Bártfa – kísérleti</c:v>
                </c:pt>
              </c:strCache>
            </c:strRef>
          </c:cat>
          <c:val>
            <c:numRef>
              <c:f>'[táblázatok_2.xlsx]Munka2 (2)'!$I$2:$I$6</c:f>
              <c:numCache>
                <c:formatCode>0%</c:formatCode>
                <c:ptCount val="5"/>
                <c:pt idx="0">
                  <c:v>0.29411764705882354</c:v>
                </c:pt>
                <c:pt idx="1">
                  <c:v>0.25925925925925924</c:v>
                </c:pt>
                <c:pt idx="2">
                  <c:v>0.33333333333333331</c:v>
                </c:pt>
                <c:pt idx="3">
                  <c:v>0.375</c:v>
                </c:pt>
                <c:pt idx="4">
                  <c:v>0.5</c:v>
                </c:pt>
              </c:numCache>
            </c:numRef>
          </c:val>
        </c:ser>
        <c:ser>
          <c:idx val="2"/>
          <c:order val="2"/>
          <c:tx>
            <c:strRef>
              <c:f>'[táblázatok_2.xlsx]Munka2 (2)'!$D$1</c:f>
              <c:strCache>
                <c:ptCount val="1"/>
                <c:pt idx="0">
                  <c:v>4 pozitív állítás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 (2)'!$A$2:$A$6</c:f>
              <c:strCache>
                <c:ptCount val="5"/>
                <c:pt idx="0">
                  <c:v>Gyárvárosi – kontroll</c:v>
                </c:pt>
                <c:pt idx="1">
                  <c:v>Meszes – kontroll</c:v>
                </c:pt>
                <c:pt idx="2">
                  <c:v>Meszes – kísérleti</c:v>
                </c:pt>
                <c:pt idx="3">
                  <c:v>Somogy – kísérleti</c:v>
                </c:pt>
                <c:pt idx="4">
                  <c:v>Bártfa – kísérleti</c:v>
                </c:pt>
              </c:strCache>
            </c:strRef>
          </c:cat>
          <c:val>
            <c:numRef>
              <c:f>'[táblázatok_2.xlsx]Munka2 (2)'!$J$2:$J$6</c:f>
              <c:numCache>
                <c:formatCode>0%</c:formatCode>
                <c:ptCount val="5"/>
                <c:pt idx="0">
                  <c:v>0.17647058823529413</c:v>
                </c:pt>
                <c:pt idx="1">
                  <c:v>0.44444444444444442</c:v>
                </c:pt>
                <c:pt idx="2">
                  <c:v>0.27777777777777779</c:v>
                </c:pt>
                <c:pt idx="3">
                  <c:v>0.25</c:v>
                </c:pt>
                <c:pt idx="4">
                  <c:v>0.1111111111111111</c:v>
                </c:pt>
              </c:numCache>
            </c:numRef>
          </c:val>
        </c:ser>
        <c:dLbls>
          <c:showLegendKey val="0"/>
          <c:showVal val="0"/>
          <c:showCatName val="0"/>
          <c:showSerName val="0"/>
          <c:showPercent val="0"/>
          <c:showBubbleSize val="0"/>
        </c:dLbls>
        <c:gapWidth val="150"/>
        <c:overlap val="100"/>
        <c:axId val="155546880"/>
        <c:axId val="155547272"/>
      </c:barChart>
      <c:catAx>
        <c:axId val="15554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5547272"/>
        <c:crosses val="autoZero"/>
        <c:auto val="1"/>
        <c:lblAlgn val="ctr"/>
        <c:lblOffset val="100"/>
        <c:noMultiLvlLbl val="0"/>
      </c:catAx>
      <c:valAx>
        <c:axId val="155547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554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'[táblázatok_2.xlsx]Munka2 (2)'!$B$9</c:f>
              <c:strCache>
                <c:ptCount val="1"/>
                <c:pt idx="0">
                  <c:v>0-1 pozitív állítás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 (2)'!$A$10:$A$14</c:f>
              <c:strCache>
                <c:ptCount val="5"/>
                <c:pt idx="0">
                  <c:v>Gyárvárosi – kontroll</c:v>
                </c:pt>
                <c:pt idx="1">
                  <c:v>Meszes – kontroll</c:v>
                </c:pt>
                <c:pt idx="2">
                  <c:v>Meszes – kísérleti</c:v>
                </c:pt>
                <c:pt idx="3">
                  <c:v>Somogy – kísérleti</c:v>
                </c:pt>
                <c:pt idx="4">
                  <c:v>Bártfa – kísérleti</c:v>
                </c:pt>
              </c:strCache>
            </c:strRef>
          </c:cat>
          <c:val>
            <c:numRef>
              <c:f>'[táblázatok_2.xlsx]Munka2 (2)'!$M$2:$M$6</c:f>
              <c:numCache>
                <c:formatCode>0%</c:formatCode>
                <c:ptCount val="5"/>
                <c:pt idx="0">
                  <c:v>0.47058823529411764</c:v>
                </c:pt>
                <c:pt idx="1">
                  <c:v>0.18518518518518517</c:v>
                </c:pt>
                <c:pt idx="2">
                  <c:v>0.55555555555555558</c:v>
                </c:pt>
                <c:pt idx="3">
                  <c:v>0.625</c:v>
                </c:pt>
                <c:pt idx="4">
                  <c:v>0.22222222222222221</c:v>
                </c:pt>
              </c:numCache>
            </c:numRef>
          </c:val>
        </c:ser>
        <c:ser>
          <c:idx val="1"/>
          <c:order val="1"/>
          <c:tx>
            <c:strRef>
              <c:f>'[táblázatok_2.xlsx]Munka2 (2)'!$C$9</c:f>
              <c:strCache>
                <c:ptCount val="1"/>
                <c:pt idx="0">
                  <c:v>2-3 pozitív állítás</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 (2)'!$A$10:$A$14</c:f>
              <c:strCache>
                <c:ptCount val="5"/>
                <c:pt idx="0">
                  <c:v>Gyárvárosi – kontroll</c:v>
                </c:pt>
                <c:pt idx="1">
                  <c:v>Meszes – kontroll</c:v>
                </c:pt>
                <c:pt idx="2">
                  <c:v>Meszes – kísérleti</c:v>
                </c:pt>
                <c:pt idx="3">
                  <c:v>Somogy – kísérleti</c:v>
                </c:pt>
                <c:pt idx="4">
                  <c:v>Bártfa – kísérleti</c:v>
                </c:pt>
              </c:strCache>
            </c:strRef>
          </c:cat>
          <c:val>
            <c:numRef>
              <c:f>'[táblázatok_2.xlsx]Munka2 (2)'!$N$2:$N$6</c:f>
              <c:numCache>
                <c:formatCode>0%</c:formatCode>
                <c:ptCount val="5"/>
                <c:pt idx="0">
                  <c:v>0.41176470588235292</c:v>
                </c:pt>
                <c:pt idx="1">
                  <c:v>0.48148148148148145</c:v>
                </c:pt>
                <c:pt idx="2">
                  <c:v>0.22222222222222221</c:v>
                </c:pt>
                <c:pt idx="3">
                  <c:v>0.375</c:v>
                </c:pt>
                <c:pt idx="4">
                  <c:v>0.44444444444444442</c:v>
                </c:pt>
              </c:numCache>
            </c:numRef>
          </c:val>
        </c:ser>
        <c:ser>
          <c:idx val="2"/>
          <c:order val="2"/>
          <c:tx>
            <c:strRef>
              <c:f>'[táblázatok_2.xlsx]Munka2 (2)'!$D$9</c:f>
              <c:strCache>
                <c:ptCount val="1"/>
                <c:pt idx="0">
                  <c:v>4 pozitív állítás</c:v>
                </c:pt>
              </c:strCache>
            </c:strRef>
          </c:tx>
          <c:spPr>
            <a:solidFill>
              <a:schemeClr val="accent3"/>
            </a:solidFill>
            <a:ln>
              <a:noFill/>
            </a:ln>
            <a:effectLst/>
          </c:spPr>
          <c:invertIfNegative val="0"/>
          <c:dLbls>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 (2)'!$A$10:$A$14</c:f>
              <c:strCache>
                <c:ptCount val="5"/>
                <c:pt idx="0">
                  <c:v>Gyárvárosi – kontroll</c:v>
                </c:pt>
                <c:pt idx="1">
                  <c:v>Meszes – kontroll</c:v>
                </c:pt>
                <c:pt idx="2">
                  <c:v>Meszes – kísérleti</c:v>
                </c:pt>
                <c:pt idx="3">
                  <c:v>Somogy – kísérleti</c:v>
                </c:pt>
                <c:pt idx="4">
                  <c:v>Bártfa – kísérleti</c:v>
                </c:pt>
              </c:strCache>
            </c:strRef>
          </c:cat>
          <c:val>
            <c:numRef>
              <c:f>'[táblázatok_2.xlsx]Munka2 (2)'!$O$2:$O$6</c:f>
              <c:numCache>
                <c:formatCode>0%</c:formatCode>
                <c:ptCount val="5"/>
                <c:pt idx="0">
                  <c:v>0.11764705882352941</c:v>
                </c:pt>
                <c:pt idx="1">
                  <c:v>0.33333333333333331</c:v>
                </c:pt>
                <c:pt idx="2">
                  <c:v>0.22222222222222221</c:v>
                </c:pt>
                <c:pt idx="3">
                  <c:v>0</c:v>
                </c:pt>
                <c:pt idx="4">
                  <c:v>0.33333333333333331</c:v>
                </c:pt>
              </c:numCache>
            </c:numRef>
          </c:val>
        </c:ser>
        <c:dLbls>
          <c:showLegendKey val="0"/>
          <c:showVal val="0"/>
          <c:showCatName val="0"/>
          <c:showSerName val="0"/>
          <c:showPercent val="0"/>
          <c:showBubbleSize val="0"/>
        </c:dLbls>
        <c:gapWidth val="150"/>
        <c:overlap val="100"/>
        <c:axId val="155548448"/>
        <c:axId val="155548840"/>
      </c:barChart>
      <c:catAx>
        <c:axId val="15554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5548840"/>
        <c:crosses val="autoZero"/>
        <c:auto val="1"/>
        <c:lblAlgn val="ctr"/>
        <c:lblOffset val="100"/>
        <c:noMultiLvlLbl val="0"/>
      </c:catAx>
      <c:valAx>
        <c:axId val="155548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554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[táblázatok_2.xlsx]iskolánként_tanulásimotiváció!$B$1</c:f>
              <c:strCache>
                <c:ptCount val="1"/>
                <c:pt idx="0">
                  <c:v>0-4 pozitív állítás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[táblázatok_2.xlsx]iskolánként_tanulásimotiváció!$A$2:$A$6</c:f>
              <c:strCache>
                <c:ptCount val="5"/>
                <c:pt idx="0">
                  <c:v>Gyárvárosi – kontroll</c:v>
                </c:pt>
                <c:pt idx="1">
                  <c:v>Meszes – kontroll</c:v>
                </c:pt>
                <c:pt idx="2">
                  <c:v>Meszes – kísérleti</c:v>
                </c:pt>
                <c:pt idx="3">
                  <c:v>Somogy – kísérleti</c:v>
                </c:pt>
                <c:pt idx="4">
                  <c:v>Bártfa – kísérleti</c:v>
                </c:pt>
              </c:strCache>
            </c:strRef>
          </c:cat>
          <c:val>
            <c:numRef>
              <c:f>[táblázatok_2.xlsx]iskolánként_tanulásimotiváció!$H$2:$H$6</c:f>
              <c:numCache>
                <c:formatCode>0%</c:formatCode>
                <c:ptCount val="5"/>
                <c:pt idx="0">
                  <c:v>0.35294117647058826</c:v>
                </c:pt>
                <c:pt idx="1">
                  <c:v>0.22222222222222221</c:v>
                </c:pt>
                <c:pt idx="2">
                  <c:v>0.27777777777777779</c:v>
                </c:pt>
                <c:pt idx="3">
                  <c:v>0.25</c:v>
                </c:pt>
                <c:pt idx="4">
                  <c:v>0.33333333333333331</c:v>
                </c:pt>
              </c:numCache>
            </c:numRef>
          </c:val>
        </c:ser>
        <c:ser>
          <c:idx val="1"/>
          <c:order val="1"/>
          <c:tx>
            <c:strRef>
              <c:f>[táblázatok_2.xlsx]iskolánként_tanulásimotiváció!$C$1</c:f>
              <c:strCache>
                <c:ptCount val="1"/>
                <c:pt idx="0">
                  <c:v>5-6 pozitív állítás</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[táblázatok_2.xlsx]iskolánként_tanulásimotiváció!$A$2:$A$6</c:f>
              <c:strCache>
                <c:ptCount val="5"/>
                <c:pt idx="0">
                  <c:v>Gyárvárosi – kontroll</c:v>
                </c:pt>
                <c:pt idx="1">
                  <c:v>Meszes – kontroll</c:v>
                </c:pt>
                <c:pt idx="2">
                  <c:v>Meszes – kísérleti</c:v>
                </c:pt>
                <c:pt idx="3">
                  <c:v>Somogy – kísérleti</c:v>
                </c:pt>
                <c:pt idx="4">
                  <c:v>Bártfa – kísérleti</c:v>
                </c:pt>
              </c:strCache>
            </c:strRef>
          </c:cat>
          <c:val>
            <c:numRef>
              <c:f>[táblázatok_2.xlsx]iskolánként_tanulásimotiváció!$I$2:$I$6</c:f>
              <c:numCache>
                <c:formatCode>0%</c:formatCode>
                <c:ptCount val="5"/>
                <c:pt idx="0">
                  <c:v>0.29411764705882354</c:v>
                </c:pt>
                <c:pt idx="1">
                  <c:v>0.14814814814814814</c:v>
                </c:pt>
                <c:pt idx="2">
                  <c:v>0.44444444444444442</c:v>
                </c:pt>
                <c:pt idx="3">
                  <c:v>0.25</c:v>
                </c:pt>
                <c:pt idx="4">
                  <c:v>0.27777777777777779</c:v>
                </c:pt>
              </c:numCache>
            </c:numRef>
          </c:val>
        </c:ser>
        <c:ser>
          <c:idx val="2"/>
          <c:order val="2"/>
          <c:tx>
            <c:strRef>
              <c:f>[táblázatok_2.xlsx]iskolánként_tanulásimotiváció!$D$1</c:f>
              <c:strCache>
                <c:ptCount val="1"/>
                <c:pt idx="0">
                  <c:v>7-10 pozitív állítás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[táblázatok_2.xlsx]iskolánként_tanulásimotiváció!$A$2:$A$6</c:f>
              <c:strCache>
                <c:ptCount val="5"/>
                <c:pt idx="0">
                  <c:v>Gyárvárosi – kontroll</c:v>
                </c:pt>
                <c:pt idx="1">
                  <c:v>Meszes – kontroll</c:v>
                </c:pt>
                <c:pt idx="2">
                  <c:v>Meszes – kísérleti</c:v>
                </c:pt>
                <c:pt idx="3">
                  <c:v>Somogy – kísérleti</c:v>
                </c:pt>
                <c:pt idx="4">
                  <c:v>Bártfa – kísérleti</c:v>
                </c:pt>
              </c:strCache>
            </c:strRef>
          </c:cat>
          <c:val>
            <c:numRef>
              <c:f>[táblázatok_2.xlsx]iskolánként_tanulásimotiváció!$J$2:$J$6</c:f>
              <c:numCache>
                <c:formatCode>0%</c:formatCode>
                <c:ptCount val="5"/>
                <c:pt idx="0">
                  <c:v>0.35294117647058826</c:v>
                </c:pt>
                <c:pt idx="1">
                  <c:v>0.62962962962962965</c:v>
                </c:pt>
                <c:pt idx="2">
                  <c:v>0.27777777777777779</c:v>
                </c:pt>
                <c:pt idx="3">
                  <c:v>0.5</c:v>
                </c:pt>
                <c:pt idx="4">
                  <c:v>0.3888888888888889</c:v>
                </c:pt>
              </c:numCache>
            </c:numRef>
          </c:val>
        </c:ser>
        <c:dLbls>
          <c:showLegendKey val="0"/>
          <c:showVal val="0"/>
          <c:showCatName val="0"/>
          <c:showSerName val="0"/>
          <c:showPercent val="0"/>
          <c:showBubbleSize val="0"/>
        </c:dLbls>
        <c:gapWidth val="150"/>
        <c:overlap val="100"/>
        <c:axId val="227304704"/>
        <c:axId val="227305096"/>
      </c:barChart>
      <c:catAx>
        <c:axId val="22730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27305096"/>
        <c:crosses val="autoZero"/>
        <c:auto val="1"/>
        <c:lblAlgn val="ctr"/>
        <c:lblOffset val="100"/>
        <c:noMultiLvlLbl val="0"/>
      </c:catAx>
      <c:valAx>
        <c:axId val="227305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27304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[táblázatok_2.xlsx]iskolánként_tanulásimotiváció!$B$9</c:f>
              <c:strCache>
                <c:ptCount val="1"/>
                <c:pt idx="0">
                  <c:v>0-4 pozitív állítás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[táblázatok_2.xlsx]iskolánként_tanulásimotiváció!$A$10:$A$14</c:f>
              <c:strCache>
                <c:ptCount val="5"/>
                <c:pt idx="0">
                  <c:v>Gyárvárosi – kontroll</c:v>
                </c:pt>
                <c:pt idx="1">
                  <c:v>Meszes – kontroll</c:v>
                </c:pt>
                <c:pt idx="2">
                  <c:v>Meszes – kísérleti</c:v>
                </c:pt>
                <c:pt idx="3">
                  <c:v>Somogy – kísérleti</c:v>
                </c:pt>
                <c:pt idx="4">
                  <c:v>Bártfa – kísérleti</c:v>
                </c:pt>
              </c:strCache>
            </c:strRef>
          </c:cat>
          <c:val>
            <c:numRef>
              <c:f>[táblázatok_2.xlsx]iskolánként_tanulásimotiváció!$M$2:$M$6</c:f>
              <c:numCache>
                <c:formatCode>0%</c:formatCode>
                <c:ptCount val="5"/>
                <c:pt idx="0">
                  <c:v>0.41176470588235292</c:v>
                </c:pt>
                <c:pt idx="1">
                  <c:v>0.22222222222222221</c:v>
                </c:pt>
                <c:pt idx="2">
                  <c:v>0.5</c:v>
                </c:pt>
                <c:pt idx="3">
                  <c:v>0.375</c:v>
                </c:pt>
                <c:pt idx="4">
                  <c:v>0.16666666666666666</c:v>
                </c:pt>
              </c:numCache>
            </c:numRef>
          </c:val>
        </c:ser>
        <c:ser>
          <c:idx val="1"/>
          <c:order val="1"/>
          <c:tx>
            <c:strRef>
              <c:f>[táblázatok_2.xlsx]iskolánként_tanulásimotiváció!$C$9</c:f>
              <c:strCache>
                <c:ptCount val="1"/>
                <c:pt idx="0">
                  <c:v>5-6 pozitív állítás</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[táblázatok_2.xlsx]iskolánként_tanulásimotiváció!$A$10:$A$14</c:f>
              <c:strCache>
                <c:ptCount val="5"/>
                <c:pt idx="0">
                  <c:v>Gyárvárosi – kontroll</c:v>
                </c:pt>
                <c:pt idx="1">
                  <c:v>Meszes – kontroll</c:v>
                </c:pt>
                <c:pt idx="2">
                  <c:v>Meszes – kísérleti</c:v>
                </c:pt>
                <c:pt idx="3">
                  <c:v>Somogy – kísérleti</c:v>
                </c:pt>
                <c:pt idx="4">
                  <c:v>Bártfa – kísérleti</c:v>
                </c:pt>
              </c:strCache>
            </c:strRef>
          </c:cat>
          <c:val>
            <c:numRef>
              <c:f>[táblázatok_2.xlsx]iskolánként_tanulásimotiváció!$N$2:$N$6</c:f>
              <c:numCache>
                <c:formatCode>0%</c:formatCode>
                <c:ptCount val="5"/>
                <c:pt idx="0">
                  <c:v>0.35294117647058826</c:v>
                </c:pt>
                <c:pt idx="1">
                  <c:v>0.14814814814814814</c:v>
                </c:pt>
                <c:pt idx="2">
                  <c:v>0.16666666666666666</c:v>
                </c:pt>
                <c:pt idx="3">
                  <c:v>0.25</c:v>
                </c:pt>
                <c:pt idx="4">
                  <c:v>0.55555555555555558</c:v>
                </c:pt>
              </c:numCache>
            </c:numRef>
          </c:val>
        </c:ser>
        <c:ser>
          <c:idx val="2"/>
          <c:order val="2"/>
          <c:tx>
            <c:strRef>
              <c:f>[táblázatok_2.xlsx]iskolánként_tanulásimotiváció!$D$9</c:f>
              <c:strCache>
                <c:ptCount val="1"/>
                <c:pt idx="0">
                  <c:v>7-10 pozitív állítás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[táblázatok_2.xlsx]iskolánként_tanulásimotiváció!$A$10:$A$14</c:f>
              <c:strCache>
                <c:ptCount val="5"/>
                <c:pt idx="0">
                  <c:v>Gyárvárosi – kontroll</c:v>
                </c:pt>
                <c:pt idx="1">
                  <c:v>Meszes – kontroll</c:v>
                </c:pt>
                <c:pt idx="2">
                  <c:v>Meszes – kísérleti</c:v>
                </c:pt>
                <c:pt idx="3">
                  <c:v>Somogy – kísérleti</c:v>
                </c:pt>
                <c:pt idx="4">
                  <c:v>Bártfa – kísérleti</c:v>
                </c:pt>
              </c:strCache>
            </c:strRef>
          </c:cat>
          <c:val>
            <c:numRef>
              <c:f>[táblázatok_2.xlsx]iskolánként_tanulásimotiváció!$O$2:$O$6</c:f>
              <c:numCache>
                <c:formatCode>0%</c:formatCode>
                <c:ptCount val="5"/>
                <c:pt idx="0">
                  <c:v>0.23529411764705882</c:v>
                </c:pt>
                <c:pt idx="1">
                  <c:v>0.62962962962962965</c:v>
                </c:pt>
                <c:pt idx="2">
                  <c:v>0.33333333333333331</c:v>
                </c:pt>
                <c:pt idx="3">
                  <c:v>0.375</c:v>
                </c:pt>
                <c:pt idx="4">
                  <c:v>0.27777777777777779</c:v>
                </c:pt>
              </c:numCache>
            </c:numRef>
          </c:val>
        </c:ser>
        <c:dLbls>
          <c:showLegendKey val="0"/>
          <c:showVal val="0"/>
          <c:showCatName val="0"/>
          <c:showSerName val="0"/>
          <c:showPercent val="0"/>
          <c:showBubbleSize val="0"/>
        </c:dLbls>
        <c:gapWidth val="150"/>
        <c:overlap val="100"/>
        <c:axId val="227305880"/>
        <c:axId val="227306272"/>
      </c:barChart>
      <c:catAx>
        <c:axId val="227305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27306272"/>
        <c:crosses val="autoZero"/>
        <c:auto val="1"/>
        <c:lblAlgn val="ctr"/>
        <c:lblOffset val="100"/>
        <c:noMultiLvlLbl val="0"/>
      </c:catAx>
      <c:valAx>
        <c:axId val="227306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27305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'[táblázatok_2.xlsx]Munka2 (5)'!$B$1</c:f>
              <c:strCache>
                <c:ptCount val="1"/>
                <c:pt idx="0">
                  <c:v>Haladó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 (5)'!$A$2:$A$6</c:f>
              <c:strCache>
                <c:ptCount val="5"/>
                <c:pt idx="0">
                  <c:v>Gyárvárosi – kontroll</c:v>
                </c:pt>
                <c:pt idx="1">
                  <c:v>Meszes – kontroll</c:v>
                </c:pt>
                <c:pt idx="2">
                  <c:v>Meszes – kísérleti</c:v>
                </c:pt>
                <c:pt idx="3">
                  <c:v>Somogy – kísérleti</c:v>
                </c:pt>
                <c:pt idx="4">
                  <c:v>Bártfa – kísérleti</c:v>
                </c:pt>
              </c:strCache>
            </c:strRef>
          </c:cat>
          <c:val>
            <c:numRef>
              <c:f>'[táblázatok_2.xlsx]Munka2 (5)'!$H$2:$H$6</c:f>
              <c:numCache>
                <c:formatCode>0%</c:formatCode>
                <c:ptCount val="5"/>
                <c:pt idx="0">
                  <c:v>5.8823529411764705E-2</c:v>
                </c:pt>
                <c:pt idx="1">
                  <c:v>0.29629629629629628</c:v>
                </c:pt>
                <c:pt idx="2">
                  <c:v>0.16666666666666666</c:v>
                </c:pt>
                <c:pt idx="3">
                  <c:v>0.75</c:v>
                </c:pt>
                <c:pt idx="4">
                  <c:v>5.5555555555555552E-2</c:v>
                </c:pt>
              </c:numCache>
            </c:numRef>
          </c:val>
        </c:ser>
        <c:ser>
          <c:idx val="1"/>
          <c:order val="1"/>
          <c:tx>
            <c:strRef>
              <c:f>'[táblázatok_2.xlsx]Munka2 (5)'!$C$1</c:f>
              <c:strCache>
                <c:ptCount val="1"/>
                <c:pt idx="0">
                  <c:v>Befejező</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 (5)'!$A$2:$A$6</c:f>
              <c:strCache>
                <c:ptCount val="5"/>
                <c:pt idx="0">
                  <c:v>Gyárvárosi – kontroll</c:v>
                </c:pt>
                <c:pt idx="1">
                  <c:v>Meszes – kontroll</c:v>
                </c:pt>
                <c:pt idx="2">
                  <c:v>Meszes – kísérleti</c:v>
                </c:pt>
                <c:pt idx="3">
                  <c:v>Somogy – kísérleti</c:v>
                </c:pt>
                <c:pt idx="4">
                  <c:v>Bártfa – kísérleti</c:v>
                </c:pt>
              </c:strCache>
            </c:strRef>
          </c:cat>
          <c:val>
            <c:numRef>
              <c:f>'[táblázatok_2.xlsx]Munka2 (5)'!$I$2:$I$6</c:f>
              <c:numCache>
                <c:formatCode>0%</c:formatCode>
                <c:ptCount val="5"/>
                <c:pt idx="0">
                  <c:v>0.76470588235294112</c:v>
                </c:pt>
                <c:pt idx="1">
                  <c:v>0.66666666666666663</c:v>
                </c:pt>
                <c:pt idx="2">
                  <c:v>0.72222222222222221</c:v>
                </c:pt>
                <c:pt idx="3">
                  <c:v>0.25</c:v>
                </c:pt>
                <c:pt idx="4">
                  <c:v>0.94444444444444442</c:v>
                </c:pt>
              </c:numCache>
            </c:numRef>
          </c:val>
        </c:ser>
        <c:ser>
          <c:idx val="2"/>
          <c:order val="2"/>
          <c:tx>
            <c:strRef>
              <c:f>'[táblázatok_2.xlsx]Munka2 (5)'!$D$1</c:f>
              <c:strCache>
                <c:ptCount val="1"/>
                <c:pt idx="0">
                  <c:v>Optimális</c:v>
                </c:pt>
              </c:strCache>
            </c:strRef>
          </c:tx>
          <c:spPr>
            <a:solidFill>
              <a:schemeClr val="accent3"/>
            </a:solidFill>
            <a:ln>
              <a:noFill/>
            </a:ln>
            <a:effectLst/>
          </c:spPr>
          <c:invertIfNegative val="0"/>
          <c:dLbls>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 (5)'!$A$2:$A$6</c:f>
              <c:strCache>
                <c:ptCount val="5"/>
                <c:pt idx="0">
                  <c:v>Gyárvárosi – kontroll</c:v>
                </c:pt>
                <c:pt idx="1">
                  <c:v>Meszes – kontroll</c:v>
                </c:pt>
                <c:pt idx="2">
                  <c:v>Meszes – kísérleti</c:v>
                </c:pt>
                <c:pt idx="3">
                  <c:v>Somogy – kísérleti</c:v>
                </c:pt>
                <c:pt idx="4">
                  <c:v>Bártfa – kísérleti</c:v>
                </c:pt>
              </c:strCache>
            </c:strRef>
          </c:cat>
          <c:val>
            <c:numRef>
              <c:f>'[táblázatok_2.xlsx]Munka2 (5)'!$J$2:$J$6</c:f>
              <c:numCache>
                <c:formatCode>0%</c:formatCode>
                <c:ptCount val="5"/>
                <c:pt idx="0">
                  <c:v>0.17647058823529413</c:v>
                </c:pt>
                <c:pt idx="1">
                  <c:v>3.7037037037037035E-2</c:v>
                </c:pt>
                <c:pt idx="2">
                  <c:v>0.1111111111111111</c:v>
                </c:pt>
                <c:pt idx="3">
                  <c:v>0</c:v>
                </c:pt>
                <c:pt idx="4">
                  <c:v>0</c:v>
                </c:pt>
              </c:numCache>
            </c:numRef>
          </c:val>
        </c:ser>
        <c:dLbls>
          <c:showLegendKey val="0"/>
          <c:showVal val="0"/>
          <c:showCatName val="0"/>
          <c:showSerName val="0"/>
          <c:showPercent val="0"/>
          <c:showBubbleSize val="0"/>
        </c:dLbls>
        <c:gapWidth val="150"/>
        <c:overlap val="100"/>
        <c:axId val="227307056"/>
        <c:axId val="227307448"/>
      </c:barChart>
      <c:catAx>
        <c:axId val="22730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27307448"/>
        <c:crosses val="autoZero"/>
        <c:auto val="1"/>
        <c:lblAlgn val="ctr"/>
        <c:lblOffset val="100"/>
        <c:noMultiLvlLbl val="0"/>
      </c:catAx>
      <c:valAx>
        <c:axId val="227307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2730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'[táblázatok_2.xlsx]Munka2 (5)'!$B$9</c:f>
              <c:strCache>
                <c:ptCount val="1"/>
                <c:pt idx="0">
                  <c:v>Haladó</c:v>
                </c:pt>
              </c:strCache>
            </c:strRef>
          </c:tx>
          <c:spPr>
            <a:solidFill>
              <a:schemeClr val="accent1"/>
            </a:solidFill>
            <a:ln>
              <a:noFill/>
            </a:ln>
            <a:effectLst/>
          </c:spPr>
          <c:invertIfNegative val="0"/>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 (5)'!$A$10:$A$14</c:f>
              <c:strCache>
                <c:ptCount val="5"/>
                <c:pt idx="0">
                  <c:v>Gyárvárosi – kontroll</c:v>
                </c:pt>
                <c:pt idx="1">
                  <c:v>Meszes – kontroll</c:v>
                </c:pt>
                <c:pt idx="2">
                  <c:v>Meszes – kísérleti</c:v>
                </c:pt>
                <c:pt idx="3">
                  <c:v>Somogy – kísérleti</c:v>
                </c:pt>
                <c:pt idx="4">
                  <c:v>Bártfa – kísérleti</c:v>
                </c:pt>
              </c:strCache>
            </c:strRef>
          </c:cat>
          <c:val>
            <c:numRef>
              <c:f>'[táblázatok_2.xlsx]Munka2 (5)'!$M$2:$M$6</c:f>
              <c:numCache>
                <c:formatCode>0%</c:formatCode>
                <c:ptCount val="5"/>
                <c:pt idx="0">
                  <c:v>0</c:v>
                </c:pt>
                <c:pt idx="1">
                  <c:v>7.407407407407407E-2</c:v>
                </c:pt>
                <c:pt idx="2">
                  <c:v>0.1111111111111111</c:v>
                </c:pt>
                <c:pt idx="3">
                  <c:v>0.125</c:v>
                </c:pt>
                <c:pt idx="4">
                  <c:v>0</c:v>
                </c:pt>
              </c:numCache>
            </c:numRef>
          </c:val>
        </c:ser>
        <c:ser>
          <c:idx val="1"/>
          <c:order val="1"/>
          <c:tx>
            <c:strRef>
              <c:f>'[táblázatok_2.xlsx]Munka2 (5)'!$C$9</c:f>
              <c:strCache>
                <c:ptCount val="1"/>
                <c:pt idx="0">
                  <c:v>Befejező</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 (5)'!$A$10:$A$14</c:f>
              <c:strCache>
                <c:ptCount val="5"/>
                <c:pt idx="0">
                  <c:v>Gyárvárosi – kontroll</c:v>
                </c:pt>
                <c:pt idx="1">
                  <c:v>Meszes – kontroll</c:v>
                </c:pt>
                <c:pt idx="2">
                  <c:v>Meszes – kísérleti</c:v>
                </c:pt>
                <c:pt idx="3">
                  <c:v>Somogy – kísérleti</c:v>
                </c:pt>
                <c:pt idx="4">
                  <c:v>Bártfa – kísérleti</c:v>
                </c:pt>
              </c:strCache>
            </c:strRef>
          </c:cat>
          <c:val>
            <c:numRef>
              <c:f>'[táblázatok_2.xlsx]Munka2 (5)'!$N$2:$N$6</c:f>
              <c:numCache>
                <c:formatCode>0%</c:formatCode>
                <c:ptCount val="5"/>
                <c:pt idx="0">
                  <c:v>0.76470588235294112</c:v>
                </c:pt>
                <c:pt idx="1">
                  <c:v>0.88888888888888884</c:v>
                </c:pt>
                <c:pt idx="2">
                  <c:v>0.72222222222222221</c:v>
                </c:pt>
                <c:pt idx="3">
                  <c:v>0.875</c:v>
                </c:pt>
                <c:pt idx="4">
                  <c:v>0.66666666666666663</c:v>
                </c:pt>
              </c:numCache>
            </c:numRef>
          </c:val>
        </c:ser>
        <c:ser>
          <c:idx val="2"/>
          <c:order val="2"/>
          <c:tx>
            <c:strRef>
              <c:f>'[táblázatok_2.xlsx]Munka2 (5)'!$D$9</c:f>
              <c:strCache>
                <c:ptCount val="1"/>
                <c:pt idx="0">
                  <c:v>Optimális</c:v>
                </c:pt>
              </c:strCache>
            </c:strRef>
          </c:tx>
          <c:spPr>
            <a:solidFill>
              <a:schemeClr val="accent3"/>
            </a:solidFill>
            <a:ln>
              <a:noFill/>
            </a:ln>
            <a:effectLst/>
          </c:spPr>
          <c:invertIfNegative val="0"/>
          <c:dLbls>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'[táblázatok_2.xlsx]Munka2 (5)'!$A$10:$A$14</c:f>
              <c:strCache>
                <c:ptCount val="5"/>
                <c:pt idx="0">
                  <c:v>Gyárvárosi – kontroll</c:v>
                </c:pt>
                <c:pt idx="1">
                  <c:v>Meszes – kontroll</c:v>
                </c:pt>
                <c:pt idx="2">
                  <c:v>Meszes – kísérleti</c:v>
                </c:pt>
                <c:pt idx="3">
                  <c:v>Somogy – kísérleti</c:v>
                </c:pt>
                <c:pt idx="4">
                  <c:v>Bártfa – kísérleti</c:v>
                </c:pt>
              </c:strCache>
            </c:strRef>
          </c:cat>
          <c:val>
            <c:numRef>
              <c:f>'[táblázatok_2.xlsx]Munka2 (5)'!$O$2:$O$6</c:f>
              <c:numCache>
                <c:formatCode>0%</c:formatCode>
                <c:ptCount val="5"/>
                <c:pt idx="0">
                  <c:v>0.23529411764705882</c:v>
                </c:pt>
                <c:pt idx="1">
                  <c:v>3.7037037037037035E-2</c:v>
                </c:pt>
                <c:pt idx="2">
                  <c:v>0.16666666666666666</c:v>
                </c:pt>
                <c:pt idx="3">
                  <c:v>0</c:v>
                </c:pt>
                <c:pt idx="4">
                  <c:v>0.33333333333333331</c:v>
                </c:pt>
              </c:numCache>
            </c:numRef>
          </c:val>
        </c:ser>
        <c:dLbls>
          <c:showLegendKey val="0"/>
          <c:showVal val="0"/>
          <c:showCatName val="0"/>
          <c:showSerName val="0"/>
          <c:showPercent val="0"/>
          <c:showBubbleSize val="0"/>
        </c:dLbls>
        <c:gapWidth val="150"/>
        <c:overlap val="100"/>
        <c:axId val="228020128"/>
        <c:axId val="228020520"/>
      </c:barChart>
      <c:catAx>
        <c:axId val="22802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28020520"/>
        <c:crosses val="autoZero"/>
        <c:auto val="1"/>
        <c:lblAlgn val="ctr"/>
        <c:lblOffset val="100"/>
        <c:noMultiLvlLbl val="0"/>
      </c:catAx>
      <c:valAx>
        <c:axId val="228020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2802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'[táblázatok_2.xlsx]Sheet1 (7)'!$G$13</c:f>
              <c:strCache>
                <c:ptCount val="1"/>
                <c:pt idx="0">
                  <c:v>Helyes válaszok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'[táblázatok_2.xlsx]Sheet1 (7)'!$H$12:$L$12</c:f>
              <c:strCache>
                <c:ptCount val="5"/>
                <c:pt idx="0">
                  <c:v>Gyárvárosi – kontroll</c:v>
                </c:pt>
                <c:pt idx="1">
                  <c:v>Meszes – kontroll</c:v>
                </c:pt>
                <c:pt idx="2">
                  <c:v>Meszes – kísérleti</c:v>
                </c:pt>
                <c:pt idx="3">
                  <c:v>Somogy – kísérleti</c:v>
                </c:pt>
                <c:pt idx="4">
                  <c:v>Bártfa – kísérleti</c:v>
                </c:pt>
              </c:strCache>
            </c:strRef>
          </c:cat>
          <c:val>
            <c:numRef>
              <c:f>'[táblázatok_2.xlsx]Sheet1 (7)'!$H$13:$L$13</c:f>
              <c:numCache>
                <c:formatCode>General</c:formatCode>
                <c:ptCount val="5"/>
                <c:pt idx="0">
                  <c:v>0.20200000000000001</c:v>
                </c:pt>
                <c:pt idx="1">
                  <c:v>-0.51500000000000001</c:v>
                </c:pt>
                <c:pt idx="2">
                  <c:v>0.17199999999999999</c:v>
                </c:pt>
                <c:pt idx="3">
                  <c:v>1.2589999999999999</c:v>
                </c:pt>
                <c:pt idx="4">
                  <c:v>-2.7E-2</c:v>
                </c:pt>
              </c:numCache>
            </c:numRef>
          </c:val>
        </c:ser>
        <c:ser>
          <c:idx val="1"/>
          <c:order val="1"/>
          <c:tx>
            <c:strRef>
              <c:f>'[táblázatok_2.xlsx]Sheet1 (7)'!$G$14</c:f>
              <c:strCache>
                <c:ptCount val="1"/>
                <c:pt idx="0">
                  <c:v>Rossz válaszok</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'[táblázatok_2.xlsx]Sheet1 (7)'!$H$12:$L$12</c:f>
              <c:strCache>
                <c:ptCount val="5"/>
                <c:pt idx="0">
                  <c:v>Gyárvárosi – kontroll</c:v>
                </c:pt>
                <c:pt idx="1">
                  <c:v>Meszes – kontroll</c:v>
                </c:pt>
                <c:pt idx="2">
                  <c:v>Meszes – kísérleti</c:v>
                </c:pt>
                <c:pt idx="3">
                  <c:v>Somogy – kísérleti</c:v>
                </c:pt>
                <c:pt idx="4">
                  <c:v>Bártfa – kísérleti</c:v>
                </c:pt>
              </c:strCache>
            </c:strRef>
          </c:cat>
          <c:val>
            <c:numRef>
              <c:f>'[táblázatok_2.xlsx]Sheet1 (7)'!$H$14:$L$14</c:f>
              <c:numCache>
                <c:formatCode>General</c:formatCode>
                <c:ptCount val="5"/>
                <c:pt idx="0">
                  <c:v>-0.153</c:v>
                </c:pt>
                <c:pt idx="1">
                  <c:v>0.36199999999999999</c:v>
                </c:pt>
                <c:pt idx="2">
                  <c:v>-0.11700000000000001</c:v>
                </c:pt>
                <c:pt idx="3">
                  <c:v>-0.995</c:v>
                </c:pt>
                <c:pt idx="4">
                  <c:v>0.10100000000000001</c:v>
                </c:pt>
              </c:numCache>
            </c:numRef>
          </c:val>
        </c:ser>
        <c:ser>
          <c:idx val="2"/>
          <c:order val="2"/>
          <c:tx>
            <c:strRef>
              <c:f>'[táblázatok_2.xlsx]Sheet1 (7)'!$G$15</c:f>
              <c:strCache>
                <c:ptCount val="1"/>
                <c:pt idx="0">
                  <c:v>Nem válaszolt</c:v>
                </c:pt>
              </c:strCache>
            </c:strRef>
          </c:tx>
          <c:spPr>
            <a:solidFill>
              <a:schemeClr val="accent3"/>
            </a:solidFill>
            <a:ln>
              <a:noFill/>
            </a:ln>
            <a:effectLst/>
          </c:spPr>
          <c:invertIfNegative val="0"/>
          <c:dLbls>
            <c:dLbl>
              <c:idx val="0"/>
              <c:layout>
                <c:manualLayout>
                  <c:x val="0"/>
                  <c:y val="9.22569856906544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0470466992381434E-17"/>
                  <c:y val="1.31795693843791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940933984762867E-17"/>
                  <c:y val="7.907741630627521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150110375274316E-3"/>
                  <c:y val="-8.0540882489392224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'[táblázatok_2.xlsx]Sheet1 (7)'!$H$12:$L$12</c:f>
              <c:strCache>
                <c:ptCount val="5"/>
                <c:pt idx="0">
                  <c:v>Gyárvárosi – kontroll</c:v>
                </c:pt>
                <c:pt idx="1">
                  <c:v>Meszes – kontroll</c:v>
                </c:pt>
                <c:pt idx="2">
                  <c:v>Meszes – kísérleti</c:v>
                </c:pt>
                <c:pt idx="3">
                  <c:v>Somogy – kísérleti</c:v>
                </c:pt>
                <c:pt idx="4">
                  <c:v>Bártfa – kísérleti</c:v>
                </c:pt>
              </c:strCache>
            </c:strRef>
          </c:cat>
          <c:val>
            <c:numRef>
              <c:f>'[táblázatok_2.xlsx]Sheet1 (7)'!$H$15:$L$15</c:f>
              <c:numCache>
                <c:formatCode>General</c:formatCode>
                <c:ptCount val="5"/>
                <c:pt idx="0">
                  <c:v>-7.1999999999999995E-2</c:v>
                </c:pt>
                <c:pt idx="1">
                  <c:v>0.186</c:v>
                </c:pt>
                <c:pt idx="2">
                  <c:v>-6.3E-2</c:v>
                </c:pt>
                <c:pt idx="3">
                  <c:v>-0.34499999999999997</c:v>
                </c:pt>
                <c:pt idx="4">
                  <c:v>-6.3E-2</c:v>
                </c:pt>
              </c:numCache>
            </c:numRef>
          </c:val>
        </c:ser>
        <c:dLbls>
          <c:showLegendKey val="0"/>
          <c:showVal val="0"/>
          <c:showCatName val="0"/>
          <c:showSerName val="0"/>
          <c:showPercent val="0"/>
          <c:showBubbleSize val="0"/>
        </c:dLbls>
        <c:gapWidth val="219"/>
        <c:overlap val="-27"/>
        <c:axId val="228021304"/>
        <c:axId val="228021696"/>
      </c:barChart>
      <c:catAx>
        <c:axId val="2280213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28021696"/>
        <c:crosses val="autoZero"/>
        <c:auto val="1"/>
        <c:lblAlgn val="ctr"/>
        <c:lblOffset val="100"/>
        <c:noMultiLvlLbl val="0"/>
      </c:catAx>
      <c:valAx>
        <c:axId val="22802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28021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'[táblázatok_2.xlsx]Sheet1 (7)'!$G$17</c:f>
              <c:strCache>
                <c:ptCount val="1"/>
                <c:pt idx="0">
                  <c:v>Helyes válaszok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'[táblázatok_2.xlsx]Sheet1 (7)'!$H$12:$L$12</c:f>
              <c:strCache>
                <c:ptCount val="5"/>
                <c:pt idx="0">
                  <c:v>Gyárvárosi – kontroll</c:v>
                </c:pt>
                <c:pt idx="1">
                  <c:v>Meszes – kontroll</c:v>
                </c:pt>
                <c:pt idx="2">
                  <c:v>Meszes – kísérleti</c:v>
                </c:pt>
                <c:pt idx="3">
                  <c:v>Somogy – kísérleti</c:v>
                </c:pt>
                <c:pt idx="4">
                  <c:v>Bártfa – kísérleti</c:v>
                </c:pt>
              </c:strCache>
            </c:strRef>
          </c:cat>
          <c:val>
            <c:numRef>
              <c:f>'[táblázatok_2.xlsx]Sheet1 (7)'!$H$17:$L$17</c:f>
              <c:numCache>
                <c:formatCode>General</c:formatCode>
                <c:ptCount val="5"/>
                <c:pt idx="0">
                  <c:v>-0.251</c:v>
                </c:pt>
                <c:pt idx="1">
                  <c:v>-0.42699999999999999</c:v>
                </c:pt>
                <c:pt idx="2">
                  <c:v>0.81899999999999995</c:v>
                </c:pt>
                <c:pt idx="3">
                  <c:v>-0.63100000000000001</c:v>
                </c:pt>
                <c:pt idx="4">
                  <c:v>0.64</c:v>
                </c:pt>
              </c:numCache>
            </c:numRef>
          </c:val>
        </c:ser>
        <c:ser>
          <c:idx val="1"/>
          <c:order val="1"/>
          <c:tx>
            <c:strRef>
              <c:f>'[táblázatok_2.xlsx]Sheet1 (7)'!$G$18</c:f>
              <c:strCache>
                <c:ptCount val="1"/>
                <c:pt idx="0">
                  <c:v>Rossz válaszok</c:v>
                </c:pt>
              </c:strCache>
            </c:strRef>
          </c:tx>
          <c:spPr>
            <a:solidFill>
              <a:schemeClr val="tx2">
                <a:lumMod val="20000"/>
                <a:lumOff val="80000"/>
              </a:schemeClr>
            </a:solidFill>
            <a:ln>
              <a:noFill/>
            </a:ln>
            <a:effectLst/>
          </c:spPr>
          <c:invertIfNegative val="0"/>
          <c:dLbls>
            <c:dLbl>
              <c:idx val="2"/>
              <c:layout>
                <c:manualLayout>
                  <c:x val="4.4223327805417356E-3"/>
                  <c:y val="0.138888888888888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'[táblázatok_2.xlsx]Sheet1 (7)'!$H$12:$L$12</c:f>
              <c:strCache>
                <c:ptCount val="5"/>
                <c:pt idx="0">
                  <c:v>Gyárvárosi – kontroll</c:v>
                </c:pt>
                <c:pt idx="1">
                  <c:v>Meszes – kontroll</c:v>
                </c:pt>
                <c:pt idx="2">
                  <c:v>Meszes – kísérleti</c:v>
                </c:pt>
                <c:pt idx="3">
                  <c:v>Somogy – kísérleti</c:v>
                </c:pt>
                <c:pt idx="4">
                  <c:v>Bártfa – kísérleti</c:v>
                </c:pt>
              </c:strCache>
            </c:strRef>
          </c:cat>
          <c:val>
            <c:numRef>
              <c:f>'[táblázatok_2.xlsx]Sheet1 (7)'!$H$18:$L$18</c:f>
              <c:numCache>
                <c:formatCode>General</c:formatCode>
                <c:ptCount val="5"/>
                <c:pt idx="0">
                  <c:v>-0.753</c:v>
                </c:pt>
                <c:pt idx="1">
                  <c:v>0.61299999999999999</c:v>
                </c:pt>
                <c:pt idx="2">
                  <c:v>-0.20100000000000001</c:v>
                </c:pt>
                <c:pt idx="3">
                  <c:v>0.48099999999999998</c:v>
                </c:pt>
                <c:pt idx="4">
                  <c:v>7.8E-2</c:v>
                </c:pt>
              </c:numCache>
            </c:numRef>
          </c:val>
        </c:ser>
        <c:ser>
          <c:idx val="2"/>
          <c:order val="2"/>
          <c:tx>
            <c:strRef>
              <c:f>'[táblázatok_2.xlsx]Sheet1 (7)'!$G$19</c:f>
              <c:strCache>
                <c:ptCount val="1"/>
                <c:pt idx="0">
                  <c:v>Nem válaszolt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'[táblázatok_2.xlsx]Sheet1 (7)'!$H$12:$L$12</c:f>
              <c:strCache>
                <c:ptCount val="5"/>
                <c:pt idx="0">
                  <c:v>Gyárvárosi – kontroll</c:v>
                </c:pt>
                <c:pt idx="1">
                  <c:v>Meszes – kontroll</c:v>
                </c:pt>
                <c:pt idx="2">
                  <c:v>Meszes – kísérleti</c:v>
                </c:pt>
                <c:pt idx="3">
                  <c:v>Somogy – kísérleti</c:v>
                </c:pt>
                <c:pt idx="4">
                  <c:v>Bártfa – kísérleti</c:v>
                </c:pt>
              </c:strCache>
            </c:strRef>
          </c:cat>
          <c:val>
            <c:numRef>
              <c:f>'[táblázatok_2.xlsx]Sheet1 (7)'!$H$19:$L$19</c:f>
              <c:numCache>
                <c:formatCode>General</c:formatCode>
                <c:ptCount val="5"/>
                <c:pt idx="0">
                  <c:v>1.1220000000000001</c:v>
                </c:pt>
                <c:pt idx="1">
                  <c:v>2.7E-2</c:v>
                </c:pt>
                <c:pt idx="2">
                  <c:v>-0.38400000000000001</c:v>
                </c:pt>
                <c:pt idx="3">
                  <c:v>0.33900000000000002</c:v>
                </c:pt>
                <c:pt idx="4">
                  <c:v>-0.71899999999999997</c:v>
                </c:pt>
              </c:numCache>
            </c:numRef>
          </c:val>
        </c:ser>
        <c:dLbls>
          <c:showLegendKey val="0"/>
          <c:showVal val="0"/>
          <c:showCatName val="0"/>
          <c:showSerName val="0"/>
          <c:showPercent val="0"/>
          <c:showBubbleSize val="0"/>
        </c:dLbls>
        <c:gapWidth val="219"/>
        <c:overlap val="-27"/>
        <c:axId val="228022480"/>
        <c:axId val="228022872"/>
      </c:barChart>
      <c:catAx>
        <c:axId val="2280224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28022872"/>
        <c:crosses val="autoZero"/>
        <c:auto val="1"/>
        <c:lblAlgn val="ctr"/>
        <c:lblOffset val="100"/>
        <c:noMultiLvlLbl val="0"/>
      </c:catAx>
      <c:valAx>
        <c:axId val="228022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2802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'[táblázatok.xlsx]Sheet1 (2)'!$H$12</c:f>
              <c:strCache>
                <c:ptCount val="1"/>
                <c:pt idx="0">
                  <c:v>Bemeneti mérés</c:v>
                </c:pt>
              </c:strCache>
            </c:strRef>
          </c:tx>
          <c:spPr>
            <a:noFill/>
            <a:ln w="31750">
              <a:solidFill>
                <a:schemeClr val="accent3"/>
              </a:solidFill>
            </a:ln>
          </c:spPr>
          <c:invertIfNegative val="0"/>
          <c:cat>
            <c:multiLvlStrRef>
              <c:f>'[táblázatok.xlsx]Sheet1 (2)'!$F$13:$G$19</c:f>
              <c:multiLvlStrCache>
                <c:ptCount val="7"/>
                <c:lvl>
                  <c:pt idx="0">
                    <c:v>0-6 pozitív állítás</c:v>
                  </c:pt>
                  <c:pt idx="1">
                    <c:v>7 pozitív állítás</c:v>
                  </c:pt>
                  <c:pt idx="2">
                    <c:v>8-9 pozitív állítás</c:v>
                  </c:pt>
                  <c:pt idx="4">
                    <c:v>0-6 pozitív állítás</c:v>
                  </c:pt>
                  <c:pt idx="5">
                    <c:v>7 pozitív állítás</c:v>
                  </c:pt>
                  <c:pt idx="6">
                    <c:v>8-9 pozitív állítás</c:v>
                  </c:pt>
                </c:lvl>
                <c:lvl>
                  <c:pt idx="0">
                    <c:v>Kontroll csoport</c:v>
                  </c:pt>
                  <c:pt idx="3">
                    <c:v>&lt;--&gt;</c:v>
                  </c:pt>
                  <c:pt idx="4">
                    <c:v>Kísérleti csoport</c:v>
                  </c:pt>
                </c:lvl>
              </c:multiLvlStrCache>
            </c:multiLvlStrRef>
          </c:cat>
          <c:val>
            <c:numRef>
              <c:f>'[táblázatok.xlsx]Sheet1 (2)'!$H$13:$H$19</c:f>
              <c:numCache>
                <c:formatCode>General</c:formatCode>
                <c:ptCount val="7"/>
                <c:pt idx="0">
                  <c:v>10</c:v>
                </c:pt>
                <c:pt idx="1">
                  <c:v>16</c:v>
                </c:pt>
                <c:pt idx="2">
                  <c:v>18</c:v>
                </c:pt>
                <c:pt idx="4">
                  <c:v>19</c:v>
                </c:pt>
                <c:pt idx="5">
                  <c:v>15</c:v>
                </c:pt>
                <c:pt idx="6">
                  <c:v>10</c:v>
                </c:pt>
              </c:numCache>
            </c:numRef>
          </c:val>
        </c:ser>
        <c:dLbls>
          <c:showLegendKey val="0"/>
          <c:showVal val="0"/>
          <c:showCatName val="0"/>
          <c:showSerName val="0"/>
          <c:showPercent val="0"/>
          <c:showBubbleSize val="0"/>
        </c:dLbls>
        <c:gapWidth val="39"/>
        <c:axId val="154716408"/>
        <c:axId val="154716800"/>
      </c:barChart>
      <c:barChart>
        <c:barDir val="col"/>
        <c:grouping val="clustered"/>
        <c:varyColors val="0"/>
        <c:ser>
          <c:idx val="1"/>
          <c:order val="1"/>
          <c:tx>
            <c:strRef>
              <c:f>'[táblázatok.xlsx]Sheet1 (2)'!$I$12</c:f>
              <c:strCache>
                <c:ptCount val="1"/>
                <c:pt idx="0">
                  <c:v>Kimeneti mérés</c:v>
                </c:pt>
              </c:strCache>
            </c:strRef>
          </c:tx>
          <c:spPr>
            <a:solidFill>
              <a:schemeClr val="tx2">
                <a:lumMod val="60000"/>
                <a:lumOff val="40000"/>
              </a:schemeClr>
            </a:solidFill>
          </c:spPr>
          <c:invertIfNegative val="0"/>
          <c:dLbls>
            <c:dLbl>
              <c:idx val="0"/>
              <c:layout>
                <c:manualLayout>
                  <c:x val="0"/>
                  <c:y val="7.89844734945934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659968697030343E-17"/>
                  <c:y val="6.77009772810801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659968697030343E-17"/>
                  <c:y val="7.89844734945935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319937394060687E-17"/>
                  <c:y val="8.27456388990980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5319937394060687E-17"/>
                  <c:y val="7.89844734945934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9.402913511261136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'[táblázatok.xlsx]Sheet1 (2)'!$F$13:$G$19</c:f>
              <c:multiLvlStrCache>
                <c:ptCount val="7"/>
                <c:lvl>
                  <c:pt idx="0">
                    <c:v>0-6 pozitív állítás</c:v>
                  </c:pt>
                  <c:pt idx="1">
                    <c:v>7 pozitív állítás</c:v>
                  </c:pt>
                  <c:pt idx="2">
                    <c:v>8-9 pozitív állítás</c:v>
                  </c:pt>
                  <c:pt idx="4">
                    <c:v>0-6 pozitív állítás</c:v>
                  </c:pt>
                  <c:pt idx="5">
                    <c:v>7 pozitív állítás</c:v>
                  </c:pt>
                  <c:pt idx="6">
                    <c:v>8-9 pozitív állítás</c:v>
                  </c:pt>
                </c:lvl>
                <c:lvl>
                  <c:pt idx="0">
                    <c:v>Kontroll csoport</c:v>
                  </c:pt>
                  <c:pt idx="3">
                    <c:v>&lt;--&gt;</c:v>
                  </c:pt>
                  <c:pt idx="4">
                    <c:v>Kísérleti csoport</c:v>
                  </c:pt>
                </c:lvl>
              </c:multiLvlStrCache>
            </c:multiLvlStrRef>
          </c:cat>
          <c:val>
            <c:numRef>
              <c:f>'[táblázatok.xlsx]Sheet1 (2)'!$I$13:$I$19</c:f>
              <c:numCache>
                <c:formatCode>General</c:formatCode>
                <c:ptCount val="7"/>
                <c:pt idx="0">
                  <c:v>10</c:v>
                </c:pt>
                <c:pt idx="1">
                  <c:v>4</c:v>
                </c:pt>
                <c:pt idx="2">
                  <c:v>30</c:v>
                </c:pt>
                <c:pt idx="4">
                  <c:v>11</c:v>
                </c:pt>
                <c:pt idx="5">
                  <c:v>7</c:v>
                </c:pt>
                <c:pt idx="6">
                  <c:v>26</c:v>
                </c:pt>
              </c:numCache>
            </c:numRef>
          </c:val>
        </c:ser>
        <c:dLbls>
          <c:showLegendKey val="0"/>
          <c:showVal val="0"/>
          <c:showCatName val="0"/>
          <c:showSerName val="0"/>
          <c:showPercent val="0"/>
          <c:showBubbleSize val="0"/>
        </c:dLbls>
        <c:gapWidth val="150"/>
        <c:axId val="154717584"/>
        <c:axId val="154717192"/>
      </c:barChart>
      <c:catAx>
        <c:axId val="154716408"/>
        <c:scaling>
          <c:orientation val="minMax"/>
        </c:scaling>
        <c:delete val="0"/>
        <c:axPos val="b"/>
        <c:numFmt formatCode="General" sourceLinked="0"/>
        <c:majorTickMark val="out"/>
        <c:minorTickMark val="none"/>
        <c:tickLblPos val="nextTo"/>
        <c:txPr>
          <a:bodyPr/>
          <a:lstStyle/>
          <a:p>
            <a:pPr>
              <a:defRPr sz="900"/>
            </a:pPr>
            <a:endParaRPr lang="hu-HU"/>
          </a:p>
        </c:txPr>
        <c:crossAx val="154716800"/>
        <c:crosses val="autoZero"/>
        <c:auto val="1"/>
        <c:lblAlgn val="ctr"/>
        <c:lblOffset val="100"/>
        <c:noMultiLvlLbl val="0"/>
      </c:catAx>
      <c:valAx>
        <c:axId val="154716800"/>
        <c:scaling>
          <c:orientation val="minMax"/>
          <c:max val="35"/>
        </c:scaling>
        <c:delete val="0"/>
        <c:axPos val="l"/>
        <c:majorGridlines/>
        <c:numFmt formatCode="General" sourceLinked="1"/>
        <c:majorTickMark val="out"/>
        <c:minorTickMark val="none"/>
        <c:tickLblPos val="nextTo"/>
        <c:crossAx val="154716408"/>
        <c:crosses val="autoZero"/>
        <c:crossBetween val="between"/>
      </c:valAx>
      <c:valAx>
        <c:axId val="154717192"/>
        <c:scaling>
          <c:orientation val="minMax"/>
        </c:scaling>
        <c:delete val="1"/>
        <c:axPos val="r"/>
        <c:numFmt formatCode="General" sourceLinked="1"/>
        <c:majorTickMark val="out"/>
        <c:minorTickMark val="none"/>
        <c:tickLblPos val="nextTo"/>
        <c:crossAx val="154717584"/>
        <c:crosses val="max"/>
        <c:crossBetween val="between"/>
      </c:valAx>
      <c:catAx>
        <c:axId val="154717584"/>
        <c:scaling>
          <c:orientation val="minMax"/>
        </c:scaling>
        <c:delete val="1"/>
        <c:axPos val="b"/>
        <c:numFmt formatCode="General" sourceLinked="1"/>
        <c:majorTickMark val="out"/>
        <c:minorTickMark val="none"/>
        <c:tickLblPos val="nextTo"/>
        <c:crossAx val="154717192"/>
        <c:crosses val="autoZero"/>
        <c:auto val="1"/>
        <c:lblAlgn val="ctr"/>
        <c:lblOffset val="100"/>
        <c:noMultiLvlLbl val="0"/>
      </c:catAx>
    </c:plotArea>
    <c:legend>
      <c:legendPos val="r"/>
      <c:layout/>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hu-HU" sz="1400" b="0" dirty="0" smtClean="0"/>
              <a:t>Bemeneti mérés</a:t>
            </a:r>
            <a:endParaRPr lang="hu-HU" sz="1400" b="0" dirty="0"/>
          </a:p>
        </c:rich>
      </c:tx>
      <c:layout>
        <c:manualLayout>
          <c:xMode val="edge"/>
          <c:yMode val="edge"/>
          <c:x val="0.33025444736074655"/>
          <c:y val="1.9782393669634024E-2"/>
        </c:manualLayout>
      </c:layout>
      <c:overlay val="0"/>
    </c:title>
    <c:autoTitleDeleted val="0"/>
    <c:plotArea>
      <c:layout/>
      <c:barChart>
        <c:barDir val="col"/>
        <c:grouping val="percentStacked"/>
        <c:varyColors val="0"/>
        <c:ser>
          <c:idx val="0"/>
          <c:order val="0"/>
          <c:tx>
            <c:strRef>
              <c:f>Munka1!$A$2</c:f>
              <c:strCache>
                <c:ptCount val="1"/>
                <c:pt idx="0">
                  <c:v>egyáltalán nem</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Munka1!$B$1:$D$1</c:f>
              <c:strCache>
                <c:ptCount val="3"/>
                <c:pt idx="0">
                  <c:v> 0-2 tárgy</c:v>
                </c:pt>
                <c:pt idx="1">
                  <c:v> 3 tárgy</c:v>
                </c:pt>
                <c:pt idx="2">
                  <c:v>4 tárgy</c:v>
                </c:pt>
              </c:strCache>
            </c:strRef>
          </c:cat>
          <c:val>
            <c:numRef>
              <c:f>Munka1!$B$2:$D$2</c:f>
              <c:numCache>
                <c:formatCode>0.0%</c:formatCode>
                <c:ptCount val="3"/>
                <c:pt idx="0">
                  <c:v>0.27800000000000002</c:v>
                </c:pt>
                <c:pt idx="1">
                  <c:v>0.318</c:v>
                </c:pt>
                <c:pt idx="2">
                  <c:v>0.35399999999999998</c:v>
                </c:pt>
              </c:numCache>
            </c:numRef>
          </c:val>
        </c:ser>
        <c:ser>
          <c:idx val="1"/>
          <c:order val="1"/>
          <c:tx>
            <c:strRef>
              <c:f>Munka1!$A$3</c:f>
              <c:strCache>
                <c:ptCount val="1"/>
                <c:pt idx="0">
                  <c:v>inkább nem</c:v>
                </c:pt>
              </c:strCache>
            </c:strRef>
          </c:tx>
          <c:spPr>
            <a:solidFill>
              <a:schemeClr val="accent1">
                <a:lumMod val="60000"/>
                <a:lumOff val="4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Munka1!$B$1:$D$1</c:f>
              <c:strCache>
                <c:ptCount val="3"/>
                <c:pt idx="0">
                  <c:v> 0-2 tárgy</c:v>
                </c:pt>
                <c:pt idx="1">
                  <c:v> 3 tárgy</c:v>
                </c:pt>
                <c:pt idx="2">
                  <c:v>4 tárgy</c:v>
                </c:pt>
              </c:strCache>
            </c:strRef>
          </c:cat>
          <c:val>
            <c:numRef>
              <c:f>Munka1!$B$3:$D$3</c:f>
              <c:numCache>
                <c:formatCode>0.0%</c:formatCode>
                <c:ptCount val="3"/>
                <c:pt idx="0">
                  <c:v>0.222</c:v>
                </c:pt>
                <c:pt idx="1">
                  <c:v>0.36399999999999999</c:v>
                </c:pt>
                <c:pt idx="2">
                  <c:v>0.33300000000000002</c:v>
                </c:pt>
              </c:numCache>
            </c:numRef>
          </c:val>
        </c:ser>
        <c:ser>
          <c:idx val="2"/>
          <c:order val="2"/>
          <c:tx>
            <c:strRef>
              <c:f>Munka1!$A$4</c:f>
              <c:strCache>
                <c:ptCount val="1"/>
                <c:pt idx="0">
                  <c:v>inkább igen</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Munka1!$B$1:$D$1</c:f>
              <c:strCache>
                <c:ptCount val="3"/>
                <c:pt idx="0">
                  <c:v> 0-2 tárgy</c:v>
                </c:pt>
                <c:pt idx="1">
                  <c:v> 3 tárgy</c:v>
                </c:pt>
                <c:pt idx="2">
                  <c:v>4 tárgy</c:v>
                </c:pt>
              </c:strCache>
            </c:strRef>
          </c:cat>
          <c:val>
            <c:numRef>
              <c:f>Munka1!$B$4:$D$4</c:f>
              <c:numCache>
                <c:formatCode>0.0%</c:formatCode>
                <c:ptCount val="3"/>
                <c:pt idx="0">
                  <c:v>0.222</c:v>
                </c:pt>
                <c:pt idx="1">
                  <c:v>0.182</c:v>
                </c:pt>
                <c:pt idx="2">
                  <c:v>0.14599999999999999</c:v>
                </c:pt>
              </c:numCache>
            </c:numRef>
          </c:val>
        </c:ser>
        <c:ser>
          <c:idx val="3"/>
          <c:order val="3"/>
          <c:tx>
            <c:strRef>
              <c:f>Munka1!$A$5</c:f>
              <c:strCache>
                <c:ptCount val="1"/>
                <c:pt idx="0">
                  <c:v>teljesen</c:v>
                </c:pt>
              </c:strCache>
            </c:strRef>
          </c:tx>
          <c:spPr>
            <a:solidFill>
              <a:srgbClr val="92D050"/>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Munka1!$B$1:$D$1</c:f>
              <c:strCache>
                <c:ptCount val="3"/>
                <c:pt idx="0">
                  <c:v> 0-2 tárgy</c:v>
                </c:pt>
                <c:pt idx="1">
                  <c:v> 3 tárgy</c:v>
                </c:pt>
                <c:pt idx="2">
                  <c:v>4 tárgy</c:v>
                </c:pt>
              </c:strCache>
            </c:strRef>
          </c:cat>
          <c:val>
            <c:numRef>
              <c:f>Munka1!$B$5:$D$5</c:f>
              <c:numCache>
                <c:formatCode>0.0%</c:formatCode>
                <c:ptCount val="3"/>
                <c:pt idx="0">
                  <c:v>0.27800000000000002</c:v>
                </c:pt>
                <c:pt idx="1">
                  <c:v>0.13600000000000001</c:v>
                </c:pt>
                <c:pt idx="2">
                  <c:v>0.16700000000000001</c:v>
                </c:pt>
              </c:numCache>
            </c:numRef>
          </c:val>
        </c:ser>
        <c:dLbls>
          <c:showLegendKey val="0"/>
          <c:showVal val="0"/>
          <c:showCatName val="0"/>
          <c:showSerName val="0"/>
          <c:showPercent val="0"/>
          <c:showBubbleSize val="0"/>
        </c:dLbls>
        <c:gapWidth val="75"/>
        <c:overlap val="100"/>
        <c:axId val="228023656"/>
        <c:axId val="228376488"/>
      </c:barChart>
      <c:catAx>
        <c:axId val="22802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hu-HU"/>
          </a:p>
        </c:txPr>
        <c:crossAx val="228376488"/>
        <c:crosses val="autoZero"/>
        <c:auto val="1"/>
        <c:lblAlgn val="ctr"/>
        <c:lblOffset val="100"/>
        <c:noMultiLvlLbl val="0"/>
      </c:catAx>
      <c:valAx>
        <c:axId val="228376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6350">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hu-HU"/>
          </a:p>
        </c:txPr>
        <c:crossAx val="228023656"/>
        <c:crosses val="autoZero"/>
        <c:crossBetween val="between"/>
      </c:valAx>
      <c:spPr>
        <a:noFill/>
        <a:ln w="25400">
          <a:noFill/>
        </a:ln>
        <a:effectLst/>
      </c:spPr>
    </c:plotArea>
    <c:legend>
      <c:legendPos val="b"/>
      <c:layout>
        <c:manualLayout>
          <c:xMode val="edge"/>
          <c:yMode val="edge"/>
          <c:x val="0.17483887430737824"/>
          <c:y val="0.83910652118040141"/>
          <c:w val="0.76143336249635452"/>
          <c:h val="0.137154606416037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noFill/>
    <a:ln>
      <a:noFill/>
    </a:ln>
    <a:effectLst/>
  </c:spPr>
  <c:txPr>
    <a:bodyPr/>
    <a:lstStyle/>
    <a:p>
      <a:pPr>
        <a:defRPr/>
      </a:pPr>
      <a:endParaRPr lang="hu-H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hu-HU" sz="1400" b="0" dirty="0" smtClean="0"/>
              <a:t>Kimeneti mérés</a:t>
            </a:r>
            <a:endParaRPr lang="hu-HU" sz="1400" b="0" dirty="0"/>
          </a:p>
        </c:rich>
      </c:tx>
      <c:layout>
        <c:manualLayout>
          <c:xMode val="edge"/>
          <c:yMode val="edge"/>
          <c:x val="0.33509259259259261"/>
          <c:y val="2.4169184290030211E-2"/>
        </c:manualLayout>
      </c:layout>
      <c:overlay val="0"/>
    </c:title>
    <c:autoTitleDeleted val="0"/>
    <c:plotArea>
      <c:layout/>
      <c:barChart>
        <c:barDir val="col"/>
        <c:grouping val="percentStacked"/>
        <c:varyColors val="0"/>
        <c:ser>
          <c:idx val="0"/>
          <c:order val="0"/>
          <c:tx>
            <c:strRef>
              <c:f>Munka1!$A$2</c:f>
              <c:strCache>
                <c:ptCount val="1"/>
                <c:pt idx="0">
                  <c:v>egyáltalán nem</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Munka1!$B$1:$D$1</c:f>
              <c:strCache>
                <c:ptCount val="3"/>
                <c:pt idx="0">
                  <c:v> 0-2 tárgy</c:v>
                </c:pt>
                <c:pt idx="1">
                  <c:v> 3 tárgy</c:v>
                </c:pt>
                <c:pt idx="2">
                  <c:v>4 tárgy</c:v>
                </c:pt>
              </c:strCache>
            </c:strRef>
          </c:cat>
          <c:val>
            <c:numRef>
              <c:f>Munka1!$B$2:$D$2</c:f>
              <c:numCache>
                <c:formatCode>0.0%</c:formatCode>
                <c:ptCount val="3"/>
                <c:pt idx="0">
                  <c:v>0.222</c:v>
                </c:pt>
                <c:pt idx="1">
                  <c:v>0.13600000000000001</c:v>
                </c:pt>
                <c:pt idx="2">
                  <c:v>0.29199999999999998</c:v>
                </c:pt>
              </c:numCache>
            </c:numRef>
          </c:val>
        </c:ser>
        <c:ser>
          <c:idx val="1"/>
          <c:order val="1"/>
          <c:tx>
            <c:strRef>
              <c:f>Munka1!$A$3</c:f>
              <c:strCache>
                <c:ptCount val="1"/>
                <c:pt idx="0">
                  <c:v>inkább nem</c:v>
                </c:pt>
              </c:strCache>
            </c:strRef>
          </c:tx>
          <c:spPr>
            <a:solidFill>
              <a:schemeClr val="accent1">
                <a:lumMod val="60000"/>
                <a:lumOff val="4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Munka1!$B$1:$D$1</c:f>
              <c:strCache>
                <c:ptCount val="3"/>
                <c:pt idx="0">
                  <c:v> 0-2 tárgy</c:v>
                </c:pt>
                <c:pt idx="1">
                  <c:v> 3 tárgy</c:v>
                </c:pt>
                <c:pt idx="2">
                  <c:v>4 tárgy</c:v>
                </c:pt>
              </c:strCache>
            </c:strRef>
          </c:cat>
          <c:val>
            <c:numRef>
              <c:f>Munka1!$B$3:$D$3</c:f>
              <c:numCache>
                <c:formatCode>0.0%</c:formatCode>
                <c:ptCount val="3"/>
                <c:pt idx="0">
                  <c:v>0.38900000000000001</c:v>
                </c:pt>
                <c:pt idx="1">
                  <c:v>0.5</c:v>
                </c:pt>
                <c:pt idx="2">
                  <c:v>0.41699999999999998</c:v>
                </c:pt>
              </c:numCache>
            </c:numRef>
          </c:val>
        </c:ser>
        <c:ser>
          <c:idx val="2"/>
          <c:order val="2"/>
          <c:tx>
            <c:strRef>
              <c:f>Munka1!$A$4</c:f>
              <c:strCache>
                <c:ptCount val="1"/>
                <c:pt idx="0">
                  <c:v>inkább igen</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Munka1!$B$1:$D$1</c:f>
              <c:strCache>
                <c:ptCount val="3"/>
                <c:pt idx="0">
                  <c:v> 0-2 tárgy</c:v>
                </c:pt>
                <c:pt idx="1">
                  <c:v> 3 tárgy</c:v>
                </c:pt>
                <c:pt idx="2">
                  <c:v>4 tárgy</c:v>
                </c:pt>
              </c:strCache>
            </c:strRef>
          </c:cat>
          <c:val>
            <c:numRef>
              <c:f>Munka1!$B$4:$D$4</c:f>
              <c:numCache>
                <c:formatCode>0.0%</c:formatCode>
                <c:ptCount val="3"/>
                <c:pt idx="0">
                  <c:v>0.222</c:v>
                </c:pt>
                <c:pt idx="1">
                  <c:v>0.27300000000000002</c:v>
                </c:pt>
                <c:pt idx="2">
                  <c:v>0.14599999999999999</c:v>
                </c:pt>
              </c:numCache>
            </c:numRef>
          </c:val>
        </c:ser>
        <c:ser>
          <c:idx val="3"/>
          <c:order val="3"/>
          <c:tx>
            <c:strRef>
              <c:f>Munka1!$A$5</c:f>
              <c:strCache>
                <c:ptCount val="1"/>
                <c:pt idx="0">
                  <c:v>teljesen</c:v>
                </c:pt>
              </c:strCache>
            </c:strRef>
          </c:tx>
          <c:spPr>
            <a:solidFill>
              <a:srgbClr val="92D050"/>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Munka1!$B$1:$D$1</c:f>
              <c:strCache>
                <c:ptCount val="3"/>
                <c:pt idx="0">
                  <c:v> 0-2 tárgy</c:v>
                </c:pt>
                <c:pt idx="1">
                  <c:v> 3 tárgy</c:v>
                </c:pt>
                <c:pt idx="2">
                  <c:v>4 tárgy</c:v>
                </c:pt>
              </c:strCache>
            </c:strRef>
          </c:cat>
          <c:val>
            <c:numRef>
              <c:f>Munka1!$B$5:$D$5</c:f>
              <c:numCache>
                <c:formatCode>0.0%</c:formatCode>
                <c:ptCount val="3"/>
                <c:pt idx="0">
                  <c:v>0.16700000000000001</c:v>
                </c:pt>
                <c:pt idx="1">
                  <c:v>9.0999999999999998E-2</c:v>
                </c:pt>
                <c:pt idx="2">
                  <c:v>0.14599999999999999</c:v>
                </c:pt>
              </c:numCache>
            </c:numRef>
          </c:val>
        </c:ser>
        <c:dLbls>
          <c:showLegendKey val="0"/>
          <c:showVal val="0"/>
          <c:showCatName val="0"/>
          <c:showSerName val="0"/>
          <c:showPercent val="0"/>
          <c:showBubbleSize val="0"/>
        </c:dLbls>
        <c:gapWidth val="75"/>
        <c:overlap val="100"/>
        <c:axId val="228377272"/>
        <c:axId val="228377664"/>
      </c:barChart>
      <c:catAx>
        <c:axId val="228377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hu-HU"/>
          </a:p>
        </c:txPr>
        <c:crossAx val="228377664"/>
        <c:crosses val="autoZero"/>
        <c:auto val="1"/>
        <c:lblAlgn val="ctr"/>
        <c:lblOffset val="100"/>
        <c:noMultiLvlLbl val="0"/>
      </c:catAx>
      <c:valAx>
        <c:axId val="228377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hu-HU"/>
          </a:p>
        </c:txPr>
        <c:crossAx val="228377272"/>
        <c:crosses val="autoZero"/>
        <c:crossBetween val="between"/>
      </c:valAx>
      <c:spPr>
        <a:noFill/>
        <a:ln w="25400">
          <a:noFill/>
        </a:ln>
        <a:effectLst/>
      </c:spPr>
    </c:plotArea>
    <c:legend>
      <c:legendPos val="b"/>
      <c:layout>
        <c:manualLayout>
          <c:xMode val="edge"/>
          <c:yMode val="edge"/>
          <c:x val="0.18872776319626713"/>
          <c:y val="0.83619002307491019"/>
          <c:w val="0.71976669582968789"/>
          <c:h val="0.139640792635059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noFill/>
    <a:ln>
      <a:noFill/>
    </a:ln>
    <a:effectLst/>
  </c:spPr>
  <c:txPr>
    <a:bodyPr/>
    <a:lstStyle/>
    <a:p>
      <a:pPr>
        <a:defRPr/>
      </a:pPr>
      <a:endParaRPr lang="hu-H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pPr>
            <a:r>
              <a:rPr lang="hu-HU" sz="1400" b="0" dirty="0" smtClean="0"/>
              <a:t>Bemeneti mérés</a:t>
            </a:r>
            <a:endParaRPr lang="hu-HU" sz="1400" b="0" dirty="0"/>
          </a:p>
        </c:rich>
      </c:tx>
      <c:layout>
        <c:manualLayout>
          <c:xMode val="edge"/>
          <c:yMode val="edge"/>
          <c:x val="0.30359122851579035"/>
          <c:y val="2.2408963585434174E-2"/>
        </c:manualLayout>
      </c:layout>
      <c:overlay val="0"/>
    </c:title>
    <c:autoTitleDeleted val="0"/>
    <c:plotArea>
      <c:layout/>
      <c:barChart>
        <c:barDir val="col"/>
        <c:grouping val="percentStacked"/>
        <c:varyColors val="0"/>
        <c:ser>
          <c:idx val="0"/>
          <c:order val="0"/>
          <c:tx>
            <c:strRef>
              <c:f>Munka1!$A$2</c:f>
              <c:strCache>
                <c:ptCount val="1"/>
                <c:pt idx="0">
                  <c:v>egyáltalán nem</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Munka1!$B$1:$E$1</c:f>
              <c:strCache>
                <c:ptCount val="4"/>
                <c:pt idx="0">
                  <c:v> 0-2 tárgy</c:v>
                </c:pt>
                <c:pt idx="1">
                  <c:v> 3 tárgy</c:v>
                </c:pt>
                <c:pt idx="2">
                  <c:v>4 tárgy</c:v>
                </c:pt>
                <c:pt idx="3">
                  <c:v>5 tárgy</c:v>
                </c:pt>
              </c:strCache>
            </c:strRef>
          </c:cat>
          <c:val>
            <c:numRef>
              <c:f>Munka1!$B$2:$E$2</c:f>
              <c:numCache>
                <c:formatCode>0.0%</c:formatCode>
                <c:ptCount val="4"/>
                <c:pt idx="0">
                  <c:v>0.33300000000000002</c:v>
                </c:pt>
                <c:pt idx="1">
                  <c:v>0.308</c:v>
                </c:pt>
                <c:pt idx="2">
                  <c:v>0.42299999999999999</c:v>
                </c:pt>
                <c:pt idx="3">
                  <c:v>0.16700000000000001</c:v>
                </c:pt>
              </c:numCache>
            </c:numRef>
          </c:val>
        </c:ser>
        <c:ser>
          <c:idx val="1"/>
          <c:order val="1"/>
          <c:tx>
            <c:strRef>
              <c:f>Munka1!$A$3</c:f>
              <c:strCache>
                <c:ptCount val="1"/>
                <c:pt idx="0">
                  <c:v>inkább nem</c:v>
                </c:pt>
              </c:strCache>
            </c:strRef>
          </c:tx>
          <c:spPr>
            <a:solidFill>
              <a:schemeClr val="accent1">
                <a:lumMod val="60000"/>
                <a:lumOff val="4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Munka1!$B$1:$E$1</c:f>
              <c:strCache>
                <c:ptCount val="4"/>
                <c:pt idx="0">
                  <c:v> 0-2 tárgy</c:v>
                </c:pt>
                <c:pt idx="1">
                  <c:v> 3 tárgy</c:v>
                </c:pt>
                <c:pt idx="2">
                  <c:v>4 tárgy</c:v>
                </c:pt>
                <c:pt idx="3">
                  <c:v>5 tárgy</c:v>
                </c:pt>
              </c:strCache>
            </c:strRef>
          </c:cat>
          <c:val>
            <c:numRef>
              <c:f>Munka1!$B$3:$E$3</c:f>
              <c:numCache>
                <c:formatCode>0.0%</c:formatCode>
                <c:ptCount val="4"/>
                <c:pt idx="0">
                  <c:v>0.375</c:v>
                </c:pt>
                <c:pt idx="1">
                  <c:v>0.308</c:v>
                </c:pt>
                <c:pt idx="2">
                  <c:v>0.192</c:v>
                </c:pt>
                <c:pt idx="3">
                  <c:v>0.5</c:v>
                </c:pt>
              </c:numCache>
            </c:numRef>
          </c:val>
        </c:ser>
        <c:ser>
          <c:idx val="2"/>
          <c:order val="2"/>
          <c:tx>
            <c:strRef>
              <c:f>Munka1!$A$4</c:f>
              <c:strCache>
                <c:ptCount val="1"/>
                <c:pt idx="0">
                  <c:v>inkább igen</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Munka1!$B$1:$E$1</c:f>
              <c:strCache>
                <c:ptCount val="4"/>
                <c:pt idx="0">
                  <c:v> 0-2 tárgy</c:v>
                </c:pt>
                <c:pt idx="1">
                  <c:v> 3 tárgy</c:v>
                </c:pt>
                <c:pt idx="2">
                  <c:v>4 tárgy</c:v>
                </c:pt>
                <c:pt idx="3">
                  <c:v>5 tárgy</c:v>
                </c:pt>
              </c:strCache>
            </c:strRef>
          </c:cat>
          <c:val>
            <c:numRef>
              <c:f>Munka1!$B$4:$E$4</c:f>
              <c:numCache>
                <c:formatCode>0.0%</c:formatCode>
                <c:ptCount val="4"/>
                <c:pt idx="0">
                  <c:v>0.16700000000000001</c:v>
                </c:pt>
                <c:pt idx="1">
                  <c:v>0.154</c:v>
                </c:pt>
                <c:pt idx="2">
                  <c:v>0.192</c:v>
                </c:pt>
                <c:pt idx="3">
                  <c:v>0.16700000000000001</c:v>
                </c:pt>
              </c:numCache>
            </c:numRef>
          </c:val>
        </c:ser>
        <c:ser>
          <c:idx val="3"/>
          <c:order val="3"/>
          <c:tx>
            <c:strRef>
              <c:f>Munka1!$A$5</c:f>
              <c:strCache>
                <c:ptCount val="1"/>
                <c:pt idx="0">
                  <c:v>teljesen</c:v>
                </c:pt>
              </c:strCache>
            </c:strRef>
          </c:tx>
          <c:spPr>
            <a:solidFill>
              <a:srgbClr val="92D050"/>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Munka1!$B$1:$E$1</c:f>
              <c:strCache>
                <c:ptCount val="4"/>
                <c:pt idx="0">
                  <c:v> 0-2 tárgy</c:v>
                </c:pt>
                <c:pt idx="1">
                  <c:v> 3 tárgy</c:v>
                </c:pt>
                <c:pt idx="2">
                  <c:v>4 tárgy</c:v>
                </c:pt>
                <c:pt idx="3">
                  <c:v>5 tárgy</c:v>
                </c:pt>
              </c:strCache>
            </c:strRef>
          </c:cat>
          <c:val>
            <c:numRef>
              <c:f>Munka1!$B$5:$E$5</c:f>
              <c:numCache>
                <c:formatCode>0.0%</c:formatCode>
                <c:ptCount val="4"/>
                <c:pt idx="0">
                  <c:v>0.125</c:v>
                </c:pt>
                <c:pt idx="1">
                  <c:v>0.23100000000000001</c:v>
                </c:pt>
                <c:pt idx="2">
                  <c:v>0.192</c:v>
                </c:pt>
                <c:pt idx="3">
                  <c:v>0.16700000000000001</c:v>
                </c:pt>
              </c:numCache>
            </c:numRef>
          </c:val>
        </c:ser>
        <c:dLbls>
          <c:showLegendKey val="0"/>
          <c:showVal val="0"/>
          <c:showCatName val="0"/>
          <c:showSerName val="0"/>
          <c:showPercent val="0"/>
          <c:showBubbleSize val="0"/>
        </c:dLbls>
        <c:gapWidth val="75"/>
        <c:overlap val="100"/>
        <c:axId val="228378448"/>
        <c:axId val="228378840"/>
      </c:barChart>
      <c:catAx>
        <c:axId val="22837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u-HU"/>
          </a:p>
        </c:txPr>
        <c:crossAx val="228378840"/>
        <c:crosses val="autoZero"/>
        <c:auto val="1"/>
        <c:lblAlgn val="ctr"/>
        <c:lblOffset val="100"/>
        <c:noMultiLvlLbl val="0"/>
      </c:catAx>
      <c:valAx>
        <c:axId val="228378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hu-HU"/>
          </a:p>
        </c:txPr>
        <c:crossAx val="228378448"/>
        <c:crosses val="autoZero"/>
        <c:crossBetween val="between"/>
      </c:valAx>
      <c:spPr>
        <a:noFill/>
        <a:ln w="25400">
          <a:noFill/>
        </a:ln>
        <a:effectLst/>
      </c:spPr>
    </c:plotArea>
    <c:legend>
      <c:legendPos val="b"/>
      <c:layout>
        <c:manualLayout>
          <c:xMode val="edge"/>
          <c:yMode val="edge"/>
          <c:x val="0.24927050785318497"/>
          <c:y val="0.84812016145040692"/>
          <c:w val="0.65807240761571462"/>
          <c:h val="0.129470874964158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noFill/>
    <a:ln>
      <a:noFill/>
    </a:ln>
    <a:effectLst/>
  </c:spPr>
  <c:txPr>
    <a:bodyPr/>
    <a:lstStyle/>
    <a:p>
      <a:pPr>
        <a:defRPr/>
      </a:pPr>
      <a:endParaRPr lang="hu-H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pPr>
            <a:r>
              <a:rPr lang="hu-HU" sz="1400" b="0" dirty="0" smtClean="0"/>
              <a:t>Kimeneti mérés</a:t>
            </a:r>
            <a:endParaRPr lang="hu-HU" sz="1400" b="0" dirty="0"/>
          </a:p>
        </c:rich>
      </c:tx>
      <c:layout>
        <c:manualLayout>
          <c:xMode val="edge"/>
          <c:yMode val="edge"/>
          <c:x val="0.33221058707867701"/>
          <c:y val="1.8674136321195144E-2"/>
        </c:manualLayout>
      </c:layout>
      <c:overlay val="0"/>
    </c:title>
    <c:autoTitleDeleted val="0"/>
    <c:plotArea>
      <c:layout/>
      <c:barChart>
        <c:barDir val="col"/>
        <c:grouping val="percentStacked"/>
        <c:varyColors val="0"/>
        <c:ser>
          <c:idx val="0"/>
          <c:order val="0"/>
          <c:tx>
            <c:strRef>
              <c:f>Munka1!$A$2</c:f>
              <c:strCache>
                <c:ptCount val="1"/>
                <c:pt idx="0">
                  <c:v>egyáltalán nem</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Munka1!$B$1:$E$1</c:f>
              <c:strCache>
                <c:ptCount val="4"/>
                <c:pt idx="0">
                  <c:v> 0-2 tárgy</c:v>
                </c:pt>
                <c:pt idx="1">
                  <c:v> 3 tárgy</c:v>
                </c:pt>
                <c:pt idx="2">
                  <c:v>4 tárgy</c:v>
                </c:pt>
                <c:pt idx="3">
                  <c:v>5 tárgy</c:v>
                </c:pt>
              </c:strCache>
            </c:strRef>
          </c:cat>
          <c:val>
            <c:numRef>
              <c:f>Munka1!$B$2:$E$2</c:f>
              <c:numCache>
                <c:formatCode>0.0%</c:formatCode>
                <c:ptCount val="4"/>
                <c:pt idx="0">
                  <c:v>0.29199999999999998</c:v>
                </c:pt>
                <c:pt idx="1">
                  <c:v>0.26900000000000002</c:v>
                </c:pt>
                <c:pt idx="2">
                  <c:v>0.192</c:v>
                </c:pt>
                <c:pt idx="3">
                  <c:v>0.16700000000000001</c:v>
                </c:pt>
              </c:numCache>
            </c:numRef>
          </c:val>
        </c:ser>
        <c:ser>
          <c:idx val="1"/>
          <c:order val="1"/>
          <c:tx>
            <c:strRef>
              <c:f>Munka1!$A$3</c:f>
              <c:strCache>
                <c:ptCount val="1"/>
                <c:pt idx="0">
                  <c:v>inkább nem</c:v>
                </c:pt>
              </c:strCache>
            </c:strRef>
          </c:tx>
          <c:spPr>
            <a:solidFill>
              <a:schemeClr val="accent1">
                <a:lumMod val="60000"/>
                <a:lumOff val="4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Munka1!$B$1:$E$1</c:f>
              <c:strCache>
                <c:ptCount val="4"/>
                <c:pt idx="0">
                  <c:v> 0-2 tárgy</c:v>
                </c:pt>
                <c:pt idx="1">
                  <c:v> 3 tárgy</c:v>
                </c:pt>
                <c:pt idx="2">
                  <c:v>4 tárgy</c:v>
                </c:pt>
                <c:pt idx="3">
                  <c:v>5 tárgy</c:v>
                </c:pt>
              </c:strCache>
            </c:strRef>
          </c:cat>
          <c:val>
            <c:numRef>
              <c:f>Munka1!$B$3:$E$3</c:f>
              <c:numCache>
                <c:formatCode>0.0%</c:formatCode>
                <c:ptCount val="4"/>
                <c:pt idx="0">
                  <c:v>0.41699999999999998</c:v>
                </c:pt>
                <c:pt idx="1">
                  <c:v>0.26900000000000002</c:v>
                </c:pt>
                <c:pt idx="2">
                  <c:v>0.53800000000000003</c:v>
                </c:pt>
                <c:pt idx="3">
                  <c:v>0.58299999999999996</c:v>
                </c:pt>
              </c:numCache>
            </c:numRef>
          </c:val>
        </c:ser>
        <c:ser>
          <c:idx val="2"/>
          <c:order val="2"/>
          <c:tx>
            <c:strRef>
              <c:f>Munka1!$A$4</c:f>
              <c:strCache>
                <c:ptCount val="1"/>
                <c:pt idx="0">
                  <c:v>inkább igen</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Munka1!$B$1:$E$1</c:f>
              <c:strCache>
                <c:ptCount val="4"/>
                <c:pt idx="0">
                  <c:v> 0-2 tárgy</c:v>
                </c:pt>
                <c:pt idx="1">
                  <c:v> 3 tárgy</c:v>
                </c:pt>
                <c:pt idx="2">
                  <c:v>4 tárgy</c:v>
                </c:pt>
                <c:pt idx="3">
                  <c:v>5 tárgy</c:v>
                </c:pt>
              </c:strCache>
            </c:strRef>
          </c:cat>
          <c:val>
            <c:numRef>
              <c:f>Munka1!$B$4:$E$4</c:f>
              <c:numCache>
                <c:formatCode>0.0%</c:formatCode>
                <c:ptCount val="4"/>
                <c:pt idx="0">
                  <c:v>0.20799999999999999</c:v>
                </c:pt>
                <c:pt idx="1">
                  <c:v>0.23100000000000001</c:v>
                </c:pt>
                <c:pt idx="2">
                  <c:v>0.154</c:v>
                </c:pt>
                <c:pt idx="3">
                  <c:v>0.16700000000000001</c:v>
                </c:pt>
              </c:numCache>
            </c:numRef>
          </c:val>
        </c:ser>
        <c:ser>
          <c:idx val="3"/>
          <c:order val="3"/>
          <c:tx>
            <c:strRef>
              <c:f>Munka1!$A$5</c:f>
              <c:strCache>
                <c:ptCount val="1"/>
                <c:pt idx="0">
                  <c:v>teljesen</c:v>
                </c:pt>
              </c:strCache>
            </c:strRef>
          </c:tx>
          <c:spPr>
            <a:solidFill>
              <a:srgbClr val="92D050"/>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Munka1!$B$1:$E$1</c:f>
              <c:strCache>
                <c:ptCount val="4"/>
                <c:pt idx="0">
                  <c:v> 0-2 tárgy</c:v>
                </c:pt>
                <c:pt idx="1">
                  <c:v> 3 tárgy</c:v>
                </c:pt>
                <c:pt idx="2">
                  <c:v>4 tárgy</c:v>
                </c:pt>
                <c:pt idx="3">
                  <c:v>5 tárgy</c:v>
                </c:pt>
              </c:strCache>
            </c:strRef>
          </c:cat>
          <c:val>
            <c:numRef>
              <c:f>Munka1!$B$5:$E$5</c:f>
              <c:numCache>
                <c:formatCode>0.0%</c:formatCode>
                <c:ptCount val="4"/>
                <c:pt idx="0">
                  <c:v>8.3000000000000004E-2</c:v>
                </c:pt>
                <c:pt idx="1">
                  <c:v>0.23100000000000001</c:v>
                </c:pt>
                <c:pt idx="2">
                  <c:v>0.115</c:v>
                </c:pt>
                <c:pt idx="3">
                  <c:v>8.3000000000000004E-2</c:v>
                </c:pt>
              </c:numCache>
            </c:numRef>
          </c:val>
        </c:ser>
        <c:dLbls>
          <c:showLegendKey val="0"/>
          <c:showVal val="0"/>
          <c:showCatName val="0"/>
          <c:showSerName val="0"/>
          <c:showPercent val="0"/>
          <c:showBubbleSize val="0"/>
        </c:dLbls>
        <c:gapWidth val="75"/>
        <c:overlap val="100"/>
        <c:axId val="228379624"/>
        <c:axId val="228380016"/>
      </c:barChart>
      <c:catAx>
        <c:axId val="228379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28380016"/>
        <c:crosses val="autoZero"/>
        <c:auto val="1"/>
        <c:lblAlgn val="ctr"/>
        <c:lblOffset val="100"/>
        <c:noMultiLvlLbl val="0"/>
      </c:catAx>
      <c:valAx>
        <c:axId val="228380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hu-HU"/>
          </a:p>
        </c:txPr>
        <c:crossAx val="228379624"/>
        <c:crosses val="autoZero"/>
        <c:crossBetween val="between"/>
      </c:valAx>
      <c:spPr>
        <a:noFill/>
        <a:ln w="25400">
          <a:noFill/>
        </a:ln>
        <a:effectLst/>
      </c:spPr>
    </c:plotArea>
    <c:legend>
      <c:legendPos val="b"/>
      <c:layout>
        <c:manualLayout>
          <c:xMode val="edge"/>
          <c:yMode val="edge"/>
          <c:x val="0.20736037027629611"/>
          <c:y val="0.84065050692192889"/>
          <c:w val="0.73820600381941492"/>
          <c:h val="0.129470874964158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noFill/>
    <a:ln>
      <a:noFill/>
    </a:ln>
    <a:effectLst/>
  </c:spPr>
  <c:txPr>
    <a:bodyPr/>
    <a:lstStyle/>
    <a:p>
      <a:pPr>
        <a:defRPr/>
      </a:pPr>
      <a:endParaRPr lang="hu-H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pPr>
            <a:r>
              <a:rPr lang="hu-HU" sz="1400" b="0" dirty="0" smtClean="0"/>
              <a:t>Bemeneti mérés</a:t>
            </a:r>
            <a:endParaRPr lang="hu-HU" sz="1400" b="0" dirty="0"/>
          </a:p>
        </c:rich>
      </c:tx>
      <c:layout>
        <c:manualLayout>
          <c:xMode val="edge"/>
          <c:yMode val="edge"/>
          <c:x val="0.31649445432224199"/>
          <c:y val="2.3809523809523808E-2"/>
        </c:manualLayout>
      </c:layout>
      <c:overlay val="0"/>
    </c:title>
    <c:autoTitleDeleted val="0"/>
    <c:plotArea>
      <c:layout/>
      <c:barChart>
        <c:barDir val="col"/>
        <c:grouping val="percentStacked"/>
        <c:varyColors val="0"/>
        <c:ser>
          <c:idx val="0"/>
          <c:order val="0"/>
          <c:tx>
            <c:strRef>
              <c:f>Munka1!$A$2</c:f>
              <c:strCache>
                <c:ptCount val="1"/>
                <c:pt idx="0">
                  <c:v>egyáltalán nem</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Munka1!$B$1:$D$1</c:f>
              <c:strCache>
                <c:ptCount val="3"/>
                <c:pt idx="0">
                  <c:v> 0-2 tárgy</c:v>
                </c:pt>
                <c:pt idx="1">
                  <c:v> 3 tárgy</c:v>
                </c:pt>
                <c:pt idx="2">
                  <c:v>4 tárgy</c:v>
                </c:pt>
              </c:strCache>
            </c:strRef>
          </c:cat>
          <c:val>
            <c:numRef>
              <c:f>Munka1!$B$2:$D$2</c:f>
              <c:numCache>
                <c:formatCode>0.0%</c:formatCode>
                <c:ptCount val="3"/>
                <c:pt idx="0">
                  <c:v>0.16700000000000001</c:v>
                </c:pt>
                <c:pt idx="1">
                  <c:v>4.4999999999999998E-2</c:v>
                </c:pt>
                <c:pt idx="2">
                  <c:v>0.14899999999999999</c:v>
                </c:pt>
              </c:numCache>
            </c:numRef>
          </c:val>
        </c:ser>
        <c:ser>
          <c:idx val="1"/>
          <c:order val="1"/>
          <c:tx>
            <c:strRef>
              <c:f>Munka1!$A$3</c:f>
              <c:strCache>
                <c:ptCount val="1"/>
                <c:pt idx="0">
                  <c:v>inkább nem</c:v>
                </c:pt>
              </c:strCache>
            </c:strRef>
          </c:tx>
          <c:spPr>
            <a:solidFill>
              <a:schemeClr val="accent1">
                <a:lumMod val="60000"/>
                <a:lumOff val="4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Munka1!$B$1:$D$1</c:f>
              <c:strCache>
                <c:ptCount val="3"/>
                <c:pt idx="0">
                  <c:v> 0-2 tárgy</c:v>
                </c:pt>
                <c:pt idx="1">
                  <c:v> 3 tárgy</c:v>
                </c:pt>
                <c:pt idx="2">
                  <c:v>4 tárgy</c:v>
                </c:pt>
              </c:strCache>
            </c:strRef>
          </c:cat>
          <c:val>
            <c:numRef>
              <c:f>Munka1!$B$3:$D$3</c:f>
              <c:numCache>
                <c:formatCode>0.0%</c:formatCode>
                <c:ptCount val="3"/>
                <c:pt idx="0">
                  <c:v>0.33300000000000002</c:v>
                </c:pt>
                <c:pt idx="1">
                  <c:v>0.40899999999999997</c:v>
                </c:pt>
                <c:pt idx="2">
                  <c:v>0.29799999999999999</c:v>
                </c:pt>
              </c:numCache>
            </c:numRef>
          </c:val>
        </c:ser>
        <c:ser>
          <c:idx val="2"/>
          <c:order val="2"/>
          <c:tx>
            <c:strRef>
              <c:f>Munka1!$A$4</c:f>
              <c:strCache>
                <c:ptCount val="1"/>
                <c:pt idx="0">
                  <c:v>inkább igen</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Munka1!$B$1:$D$1</c:f>
              <c:strCache>
                <c:ptCount val="3"/>
                <c:pt idx="0">
                  <c:v> 0-2 tárgy</c:v>
                </c:pt>
                <c:pt idx="1">
                  <c:v> 3 tárgy</c:v>
                </c:pt>
                <c:pt idx="2">
                  <c:v>4 tárgy</c:v>
                </c:pt>
              </c:strCache>
            </c:strRef>
          </c:cat>
          <c:val>
            <c:numRef>
              <c:f>Munka1!$B$4:$D$4</c:f>
              <c:numCache>
                <c:formatCode>0.0%</c:formatCode>
                <c:ptCount val="3"/>
                <c:pt idx="0">
                  <c:v>0.16700000000000001</c:v>
                </c:pt>
                <c:pt idx="1">
                  <c:v>0.45500000000000002</c:v>
                </c:pt>
                <c:pt idx="2">
                  <c:v>0.36199999999999999</c:v>
                </c:pt>
              </c:numCache>
            </c:numRef>
          </c:val>
        </c:ser>
        <c:ser>
          <c:idx val="3"/>
          <c:order val="3"/>
          <c:tx>
            <c:strRef>
              <c:f>Munka1!$A$5</c:f>
              <c:strCache>
                <c:ptCount val="1"/>
                <c:pt idx="0">
                  <c:v>teljesen</c:v>
                </c:pt>
              </c:strCache>
            </c:strRef>
          </c:tx>
          <c:spPr>
            <a:solidFill>
              <a:srgbClr val="92D050"/>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Munka1!$B$1:$D$1</c:f>
              <c:strCache>
                <c:ptCount val="3"/>
                <c:pt idx="0">
                  <c:v> 0-2 tárgy</c:v>
                </c:pt>
                <c:pt idx="1">
                  <c:v> 3 tárgy</c:v>
                </c:pt>
                <c:pt idx="2">
                  <c:v>4 tárgy</c:v>
                </c:pt>
              </c:strCache>
            </c:strRef>
          </c:cat>
          <c:val>
            <c:numRef>
              <c:f>Munka1!$B$5:$D$5</c:f>
              <c:numCache>
                <c:formatCode>0.0%</c:formatCode>
                <c:ptCount val="3"/>
                <c:pt idx="0">
                  <c:v>0.33300000000000002</c:v>
                </c:pt>
                <c:pt idx="1">
                  <c:v>9.0999999999999998E-2</c:v>
                </c:pt>
                <c:pt idx="2">
                  <c:v>0.191</c:v>
                </c:pt>
              </c:numCache>
            </c:numRef>
          </c:val>
        </c:ser>
        <c:dLbls>
          <c:showLegendKey val="0"/>
          <c:showVal val="0"/>
          <c:showCatName val="0"/>
          <c:showSerName val="0"/>
          <c:showPercent val="0"/>
          <c:showBubbleSize val="0"/>
        </c:dLbls>
        <c:gapWidth val="75"/>
        <c:overlap val="100"/>
        <c:axId val="228921272"/>
        <c:axId val="228921664"/>
      </c:barChart>
      <c:catAx>
        <c:axId val="228921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hu-HU"/>
          </a:p>
        </c:txPr>
        <c:crossAx val="228921664"/>
        <c:crosses val="autoZero"/>
        <c:auto val="1"/>
        <c:lblAlgn val="ctr"/>
        <c:lblOffset val="100"/>
        <c:noMultiLvlLbl val="0"/>
      </c:catAx>
      <c:valAx>
        <c:axId val="228921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hu-HU"/>
          </a:p>
        </c:txPr>
        <c:crossAx val="228921272"/>
        <c:crosses val="autoZero"/>
        <c:crossBetween val="between"/>
      </c:valAx>
      <c:spPr>
        <a:noFill/>
        <a:ln w="25400">
          <a:noFill/>
        </a:ln>
        <a:effectLst/>
      </c:spPr>
    </c:plotArea>
    <c:legend>
      <c:legendPos val="b"/>
      <c:layout>
        <c:manualLayout>
          <c:xMode val="edge"/>
          <c:yMode val="edge"/>
          <c:x val="8.2995918285879669E-2"/>
          <c:y val="0.83862767154105733"/>
          <c:w val="0.82231510034629707"/>
          <c:h val="0.137562804649418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noFill/>
    <a:ln>
      <a:noFill/>
    </a:ln>
    <a:effectLst/>
  </c:spPr>
  <c:txPr>
    <a:bodyPr/>
    <a:lstStyle/>
    <a:p>
      <a:pPr>
        <a:defRPr/>
      </a:pPr>
      <a:endParaRPr lang="hu-H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u-HU" sz="1400" b="0" dirty="0" smtClean="0"/>
              <a:t>Kimeneti mérés</a:t>
            </a:r>
            <a:endParaRPr lang="hu-HU" sz="1400" b="0" dirty="0"/>
          </a:p>
        </c:rich>
      </c:tx>
      <c:layout>
        <c:manualLayout>
          <c:xMode val="edge"/>
          <c:yMode val="edge"/>
          <c:x val="0.31128901570230549"/>
          <c:y val="2.3809523809523808E-2"/>
        </c:manualLayout>
      </c:layout>
      <c:overlay val="0"/>
    </c:title>
    <c:autoTitleDeleted val="0"/>
    <c:plotArea>
      <c:layout/>
      <c:barChart>
        <c:barDir val="col"/>
        <c:grouping val="percentStacked"/>
        <c:varyColors val="0"/>
        <c:ser>
          <c:idx val="0"/>
          <c:order val="0"/>
          <c:tx>
            <c:strRef>
              <c:f>Munka1!$A$2</c:f>
              <c:strCache>
                <c:ptCount val="1"/>
                <c:pt idx="0">
                  <c:v>egyáltalán nem</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Munka1!$B$1:$D$1</c:f>
              <c:strCache>
                <c:ptCount val="3"/>
                <c:pt idx="0">
                  <c:v> 0-2 tárgy</c:v>
                </c:pt>
                <c:pt idx="1">
                  <c:v> 3 tárgy</c:v>
                </c:pt>
                <c:pt idx="2">
                  <c:v>4 tárgy</c:v>
                </c:pt>
              </c:strCache>
            </c:strRef>
          </c:cat>
          <c:val>
            <c:numRef>
              <c:f>Munka1!$B$2:$D$2</c:f>
              <c:numCache>
                <c:formatCode>0.0%</c:formatCode>
                <c:ptCount val="3"/>
                <c:pt idx="0">
                  <c:v>0.111</c:v>
                </c:pt>
                <c:pt idx="1">
                  <c:v>9.0999999999999998E-2</c:v>
                </c:pt>
                <c:pt idx="2">
                  <c:v>0.191</c:v>
                </c:pt>
              </c:numCache>
            </c:numRef>
          </c:val>
        </c:ser>
        <c:ser>
          <c:idx val="1"/>
          <c:order val="1"/>
          <c:tx>
            <c:strRef>
              <c:f>Munka1!$A$3</c:f>
              <c:strCache>
                <c:ptCount val="1"/>
                <c:pt idx="0">
                  <c:v>inkább nem</c:v>
                </c:pt>
              </c:strCache>
            </c:strRef>
          </c:tx>
          <c:spPr>
            <a:solidFill>
              <a:schemeClr val="accent1">
                <a:lumMod val="60000"/>
                <a:lumOff val="4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Munka1!$B$1:$D$1</c:f>
              <c:strCache>
                <c:ptCount val="3"/>
                <c:pt idx="0">
                  <c:v> 0-2 tárgy</c:v>
                </c:pt>
                <c:pt idx="1">
                  <c:v> 3 tárgy</c:v>
                </c:pt>
                <c:pt idx="2">
                  <c:v>4 tárgy</c:v>
                </c:pt>
              </c:strCache>
            </c:strRef>
          </c:cat>
          <c:val>
            <c:numRef>
              <c:f>Munka1!$B$3:$D$3</c:f>
              <c:numCache>
                <c:formatCode>0.0%</c:formatCode>
                <c:ptCount val="3"/>
                <c:pt idx="0">
                  <c:v>0.44400000000000001</c:v>
                </c:pt>
                <c:pt idx="1">
                  <c:v>0.318</c:v>
                </c:pt>
                <c:pt idx="2">
                  <c:v>0.31900000000000001</c:v>
                </c:pt>
              </c:numCache>
            </c:numRef>
          </c:val>
        </c:ser>
        <c:ser>
          <c:idx val="2"/>
          <c:order val="2"/>
          <c:tx>
            <c:strRef>
              <c:f>Munka1!$A$4</c:f>
              <c:strCache>
                <c:ptCount val="1"/>
                <c:pt idx="0">
                  <c:v>inkább igen</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Munka1!$B$1:$D$1</c:f>
              <c:strCache>
                <c:ptCount val="3"/>
                <c:pt idx="0">
                  <c:v> 0-2 tárgy</c:v>
                </c:pt>
                <c:pt idx="1">
                  <c:v> 3 tárgy</c:v>
                </c:pt>
                <c:pt idx="2">
                  <c:v>4 tárgy</c:v>
                </c:pt>
              </c:strCache>
            </c:strRef>
          </c:cat>
          <c:val>
            <c:numRef>
              <c:f>Munka1!$B$4:$D$4</c:f>
              <c:numCache>
                <c:formatCode>0.0%</c:formatCode>
                <c:ptCount val="3"/>
                <c:pt idx="0">
                  <c:v>0.33300000000000002</c:v>
                </c:pt>
                <c:pt idx="1">
                  <c:v>0.40899999999999997</c:v>
                </c:pt>
                <c:pt idx="2">
                  <c:v>0.29799999999999999</c:v>
                </c:pt>
              </c:numCache>
            </c:numRef>
          </c:val>
        </c:ser>
        <c:ser>
          <c:idx val="3"/>
          <c:order val="3"/>
          <c:tx>
            <c:strRef>
              <c:f>Munka1!$A$5</c:f>
              <c:strCache>
                <c:ptCount val="1"/>
                <c:pt idx="0">
                  <c:v>teljesen</c:v>
                </c:pt>
              </c:strCache>
            </c:strRef>
          </c:tx>
          <c:spPr>
            <a:solidFill>
              <a:srgbClr val="92D050"/>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Munka1!$B$1:$D$1</c:f>
              <c:strCache>
                <c:ptCount val="3"/>
                <c:pt idx="0">
                  <c:v> 0-2 tárgy</c:v>
                </c:pt>
                <c:pt idx="1">
                  <c:v> 3 tárgy</c:v>
                </c:pt>
                <c:pt idx="2">
                  <c:v>4 tárgy</c:v>
                </c:pt>
              </c:strCache>
            </c:strRef>
          </c:cat>
          <c:val>
            <c:numRef>
              <c:f>Munka1!$B$5:$D$5</c:f>
              <c:numCache>
                <c:formatCode>0.0%</c:formatCode>
                <c:ptCount val="3"/>
                <c:pt idx="0">
                  <c:v>0.111</c:v>
                </c:pt>
                <c:pt idx="1">
                  <c:v>0.182</c:v>
                </c:pt>
                <c:pt idx="2">
                  <c:v>0.191</c:v>
                </c:pt>
              </c:numCache>
            </c:numRef>
          </c:val>
        </c:ser>
        <c:dLbls>
          <c:showLegendKey val="0"/>
          <c:showVal val="0"/>
          <c:showCatName val="0"/>
          <c:showSerName val="0"/>
          <c:showPercent val="0"/>
          <c:showBubbleSize val="0"/>
        </c:dLbls>
        <c:gapWidth val="75"/>
        <c:overlap val="100"/>
        <c:axId val="228922448"/>
        <c:axId val="228922840"/>
      </c:barChart>
      <c:catAx>
        <c:axId val="22892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hu-HU"/>
          </a:p>
        </c:txPr>
        <c:crossAx val="228922840"/>
        <c:crosses val="autoZero"/>
        <c:auto val="1"/>
        <c:lblAlgn val="ctr"/>
        <c:lblOffset val="100"/>
        <c:noMultiLvlLbl val="0"/>
      </c:catAx>
      <c:valAx>
        <c:axId val="228922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hu-HU"/>
          </a:p>
        </c:txPr>
        <c:crossAx val="228922448"/>
        <c:crosses val="autoZero"/>
        <c:crossBetween val="between"/>
      </c:valAx>
      <c:spPr>
        <a:noFill/>
        <a:ln w="25400">
          <a:noFill/>
        </a:ln>
        <a:effectLst/>
      </c:spPr>
    </c:plotArea>
    <c:legend>
      <c:legendPos val="b"/>
      <c:layout>
        <c:manualLayout>
          <c:xMode val="edge"/>
          <c:yMode val="edge"/>
          <c:x val="0.18764300803862932"/>
          <c:y val="0.83862767154105733"/>
          <c:w val="0.80896627544198485"/>
          <c:h val="0.137562804649418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noFill/>
    <a:ln>
      <a:noFill/>
    </a:ln>
    <a:effectLst/>
  </c:spPr>
  <c:txPr>
    <a:bodyPr/>
    <a:lstStyle/>
    <a:p>
      <a:pPr>
        <a:defRPr/>
      </a:pPr>
      <a:endParaRPr lang="hu-H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b="0"/>
              <a:t>Bemeneti mérés</a:t>
            </a:r>
          </a:p>
        </c:rich>
      </c:tx>
      <c:layout>
        <c:manualLayout>
          <c:xMode val="edge"/>
          <c:yMode val="edge"/>
          <c:x val="0.29305323475786899"/>
          <c:y val="2.7397260273972601E-2"/>
        </c:manualLayout>
      </c:layout>
      <c:overlay val="0"/>
    </c:title>
    <c:autoTitleDeleted val="0"/>
    <c:plotArea>
      <c:layout/>
      <c:barChart>
        <c:barDir val="col"/>
        <c:grouping val="percentStacked"/>
        <c:varyColors val="0"/>
        <c:ser>
          <c:idx val="0"/>
          <c:order val="0"/>
          <c:tx>
            <c:strRef>
              <c:f>'[Chart in Microsoft PowerPoint]Munka1'!$A$2</c:f>
              <c:strCache>
                <c:ptCount val="1"/>
                <c:pt idx="0">
                  <c:v>egyáltalán nem</c:v>
                </c:pt>
              </c:strCache>
            </c:strRef>
          </c:tx>
          <c:invertIfNegative val="0"/>
          <c:dLbls>
            <c:spPr>
              <a:noFill/>
              <a:ln>
                <a:noFill/>
              </a:ln>
              <a:effectLst/>
            </c:spPr>
            <c:txPr>
              <a:bodyPr wrap="square" lIns="38100" tIns="19050" rIns="38100" bIns="19050" anchor="ctr">
                <a:spAutoFit/>
              </a:bodyPr>
              <a:lstStyle/>
              <a:p>
                <a:pPr>
                  <a:defRPr sz="900"/>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PowerPoint]Munka1'!$B$1:$E$1</c:f>
              <c:strCache>
                <c:ptCount val="4"/>
                <c:pt idx="0">
                  <c:v> 0-2 tárgy</c:v>
                </c:pt>
                <c:pt idx="1">
                  <c:v> 3 tárgy</c:v>
                </c:pt>
                <c:pt idx="2">
                  <c:v>4 tárgy</c:v>
                </c:pt>
                <c:pt idx="3">
                  <c:v>5 tárgy</c:v>
                </c:pt>
              </c:strCache>
            </c:strRef>
          </c:cat>
          <c:val>
            <c:numRef>
              <c:f>'[Chart in Microsoft PowerPoint]Munka1'!$B$2:$E$2</c:f>
              <c:numCache>
                <c:formatCode>0.0%</c:formatCode>
                <c:ptCount val="4"/>
                <c:pt idx="0">
                  <c:v>0.125</c:v>
                </c:pt>
                <c:pt idx="1">
                  <c:v>0.24</c:v>
                </c:pt>
                <c:pt idx="2">
                  <c:v>7.6999999999999999E-2</c:v>
                </c:pt>
              </c:numCache>
            </c:numRef>
          </c:val>
        </c:ser>
        <c:ser>
          <c:idx val="1"/>
          <c:order val="1"/>
          <c:tx>
            <c:strRef>
              <c:f>'[Chart in Microsoft PowerPoint]Munka1'!$A$3</c:f>
              <c:strCache>
                <c:ptCount val="1"/>
                <c:pt idx="0">
                  <c:v>inkább nem</c:v>
                </c:pt>
              </c:strCache>
            </c:strRef>
          </c:tx>
          <c:spPr>
            <a:solidFill>
              <a:schemeClr val="accent1">
                <a:lumMod val="60000"/>
                <a:lumOff val="40000"/>
              </a:schemeClr>
            </a:solidFill>
          </c:spPr>
          <c:invertIfNegative val="0"/>
          <c:dLbls>
            <c:spPr>
              <a:noFill/>
              <a:ln>
                <a:noFill/>
              </a:ln>
              <a:effectLst/>
            </c:spPr>
            <c:txPr>
              <a:bodyPr wrap="square" lIns="38100" tIns="19050" rIns="38100" bIns="19050" anchor="ctr">
                <a:spAutoFit/>
              </a:bodyPr>
              <a:lstStyle/>
              <a:p>
                <a:pPr>
                  <a:defRPr sz="900"/>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PowerPoint]Munka1'!$B$1:$E$1</c:f>
              <c:strCache>
                <c:ptCount val="4"/>
                <c:pt idx="0">
                  <c:v> 0-2 tárgy</c:v>
                </c:pt>
                <c:pt idx="1">
                  <c:v> 3 tárgy</c:v>
                </c:pt>
                <c:pt idx="2">
                  <c:v>4 tárgy</c:v>
                </c:pt>
                <c:pt idx="3">
                  <c:v>5 tárgy</c:v>
                </c:pt>
              </c:strCache>
            </c:strRef>
          </c:cat>
          <c:val>
            <c:numRef>
              <c:f>'[Chart in Microsoft PowerPoint]Munka1'!$B$3:$E$3</c:f>
              <c:numCache>
                <c:formatCode>0.0%</c:formatCode>
                <c:ptCount val="4"/>
                <c:pt idx="0">
                  <c:v>0.25</c:v>
                </c:pt>
                <c:pt idx="1">
                  <c:v>0.4</c:v>
                </c:pt>
                <c:pt idx="2">
                  <c:v>0.38500000000000001</c:v>
                </c:pt>
                <c:pt idx="3">
                  <c:v>0.25</c:v>
                </c:pt>
              </c:numCache>
            </c:numRef>
          </c:val>
        </c:ser>
        <c:ser>
          <c:idx val="2"/>
          <c:order val="2"/>
          <c:tx>
            <c:strRef>
              <c:f>'[Chart in Microsoft PowerPoint]Munka1'!$A$4</c:f>
              <c:strCache>
                <c:ptCount val="1"/>
                <c:pt idx="0">
                  <c:v>inkább igen</c:v>
                </c:pt>
              </c:strCache>
            </c:strRef>
          </c:tx>
          <c:invertIfNegative val="0"/>
          <c:dLbls>
            <c:spPr>
              <a:noFill/>
              <a:ln>
                <a:noFill/>
              </a:ln>
              <a:effectLst/>
            </c:spPr>
            <c:txPr>
              <a:bodyPr wrap="square" lIns="38100" tIns="19050" rIns="38100" bIns="19050" anchor="ctr">
                <a:spAutoFit/>
              </a:bodyPr>
              <a:lstStyle/>
              <a:p>
                <a:pPr>
                  <a:defRPr sz="900"/>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PowerPoint]Munka1'!$B$1:$E$1</c:f>
              <c:strCache>
                <c:ptCount val="4"/>
                <c:pt idx="0">
                  <c:v> 0-2 tárgy</c:v>
                </c:pt>
                <c:pt idx="1">
                  <c:v> 3 tárgy</c:v>
                </c:pt>
                <c:pt idx="2">
                  <c:v>4 tárgy</c:v>
                </c:pt>
                <c:pt idx="3">
                  <c:v>5 tárgy</c:v>
                </c:pt>
              </c:strCache>
            </c:strRef>
          </c:cat>
          <c:val>
            <c:numRef>
              <c:f>'[Chart in Microsoft PowerPoint]Munka1'!$B$4:$E$4</c:f>
              <c:numCache>
                <c:formatCode>0.0%</c:formatCode>
                <c:ptCount val="4"/>
                <c:pt idx="0">
                  <c:v>0.33300000000000002</c:v>
                </c:pt>
                <c:pt idx="1">
                  <c:v>0.24</c:v>
                </c:pt>
                <c:pt idx="2">
                  <c:v>0.34599999999999997</c:v>
                </c:pt>
                <c:pt idx="3">
                  <c:v>0.58299999999999996</c:v>
                </c:pt>
              </c:numCache>
            </c:numRef>
          </c:val>
        </c:ser>
        <c:ser>
          <c:idx val="3"/>
          <c:order val="3"/>
          <c:tx>
            <c:strRef>
              <c:f>'[Chart in Microsoft PowerPoint]Munka1'!$A$5</c:f>
              <c:strCache>
                <c:ptCount val="1"/>
                <c:pt idx="0">
                  <c:v>teljesen</c:v>
                </c:pt>
              </c:strCache>
            </c:strRef>
          </c:tx>
          <c:spPr>
            <a:solidFill>
              <a:srgbClr val="92D050"/>
            </a:solidFill>
          </c:spPr>
          <c:invertIfNegative val="0"/>
          <c:dLbls>
            <c:spPr>
              <a:noFill/>
              <a:ln>
                <a:noFill/>
              </a:ln>
              <a:effectLst/>
            </c:spPr>
            <c:txPr>
              <a:bodyPr wrap="square" lIns="38100" tIns="19050" rIns="38100" bIns="19050" anchor="ctr">
                <a:spAutoFit/>
              </a:bodyPr>
              <a:lstStyle/>
              <a:p>
                <a:pPr>
                  <a:defRPr sz="900"/>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PowerPoint]Munka1'!$B$1:$E$1</c:f>
              <c:strCache>
                <c:ptCount val="4"/>
                <c:pt idx="0">
                  <c:v> 0-2 tárgy</c:v>
                </c:pt>
                <c:pt idx="1">
                  <c:v> 3 tárgy</c:v>
                </c:pt>
                <c:pt idx="2">
                  <c:v>4 tárgy</c:v>
                </c:pt>
                <c:pt idx="3">
                  <c:v>5 tárgy</c:v>
                </c:pt>
              </c:strCache>
            </c:strRef>
          </c:cat>
          <c:val>
            <c:numRef>
              <c:f>'[Chart in Microsoft PowerPoint]Munka1'!$B$5:$E$5</c:f>
              <c:numCache>
                <c:formatCode>0.0%</c:formatCode>
                <c:ptCount val="4"/>
                <c:pt idx="0">
                  <c:v>0.29199999999999998</c:v>
                </c:pt>
                <c:pt idx="1">
                  <c:v>0.12</c:v>
                </c:pt>
                <c:pt idx="2">
                  <c:v>0.192</c:v>
                </c:pt>
                <c:pt idx="3">
                  <c:v>0.16700000000000001</c:v>
                </c:pt>
              </c:numCache>
            </c:numRef>
          </c:val>
        </c:ser>
        <c:dLbls>
          <c:showLegendKey val="0"/>
          <c:showVal val="0"/>
          <c:showCatName val="0"/>
          <c:showSerName val="0"/>
          <c:showPercent val="0"/>
          <c:showBubbleSize val="0"/>
        </c:dLbls>
        <c:gapWidth val="75"/>
        <c:overlap val="100"/>
        <c:axId val="228923624"/>
        <c:axId val="228924016"/>
      </c:barChart>
      <c:catAx>
        <c:axId val="228923624"/>
        <c:scaling>
          <c:orientation val="minMax"/>
        </c:scaling>
        <c:delete val="0"/>
        <c:axPos val="b"/>
        <c:numFmt formatCode="General" sourceLinked="0"/>
        <c:majorTickMark val="none"/>
        <c:minorTickMark val="none"/>
        <c:tickLblPos val="nextTo"/>
        <c:crossAx val="228924016"/>
        <c:crosses val="autoZero"/>
        <c:auto val="1"/>
        <c:lblAlgn val="ctr"/>
        <c:lblOffset val="100"/>
        <c:noMultiLvlLbl val="0"/>
      </c:catAx>
      <c:valAx>
        <c:axId val="228924016"/>
        <c:scaling>
          <c:orientation val="minMax"/>
        </c:scaling>
        <c:delete val="0"/>
        <c:axPos val="l"/>
        <c:majorGridlines>
          <c:spPr>
            <a:ln>
              <a:solidFill>
                <a:sysClr val="window" lastClr="FFFFFF">
                  <a:lumMod val="65000"/>
                </a:sysClr>
              </a:solidFill>
            </a:ln>
          </c:spPr>
        </c:majorGridlines>
        <c:numFmt formatCode="0%" sourceLinked="1"/>
        <c:majorTickMark val="none"/>
        <c:minorTickMark val="none"/>
        <c:tickLblPos val="nextTo"/>
        <c:spPr>
          <a:noFill/>
          <a:ln w="6350">
            <a:noFill/>
          </a:ln>
        </c:spPr>
        <c:txPr>
          <a:bodyPr/>
          <a:lstStyle/>
          <a:p>
            <a:pPr>
              <a:defRPr sz="1100">
                <a:solidFill>
                  <a:schemeClr val="bg2">
                    <a:lumMod val="25000"/>
                  </a:schemeClr>
                </a:solidFill>
              </a:defRPr>
            </a:pPr>
            <a:endParaRPr lang="hu-HU"/>
          </a:p>
        </c:txPr>
        <c:crossAx val="228923624"/>
        <c:crosses val="autoZero"/>
        <c:crossBetween val="between"/>
        <c:majorUnit val="0.2"/>
      </c:valAx>
    </c:plotArea>
    <c:legend>
      <c:legendPos val="b"/>
      <c:layout>
        <c:manualLayout>
          <c:xMode val="edge"/>
          <c:yMode val="edge"/>
          <c:x val="0.1731053274829196"/>
          <c:y val="0.80974508323445871"/>
          <c:w val="0.80137204223517866"/>
          <c:h val="0.15829144644590659"/>
        </c:manualLayout>
      </c:layout>
      <c:overlay val="0"/>
    </c:legend>
    <c:plotVisOnly val="1"/>
    <c:dispBlanksAs val="gap"/>
    <c:showDLblsOverMax val="0"/>
  </c:chart>
  <c:spPr>
    <a:ln>
      <a:noFill/>
    </a:ln>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0"/>
            </a:pPr>
            <a:r>
              <a:rPr lang="hu-HU" sz="1400" b="0" dirty="0" smtClean="0"/>
              <a:t>Kiemeneti</a:t>
            </a:r>
            <a:r>
              <a:rPr lang="hu-HU" sz="1400" b="0" baseline="0" dirty="0" smtClean="0"/>
              <a:t> mérés</a:t>
            </a:r>
            <a:endParaRPr lang="hu-HU" sz="1400" b="0" dirty="0"/>
          </a:p>
        </c:rich>
      </c:tx>
      <c:layout>
        <c:manualLayout>
          <c:xMode val="edge"/>
          <c:yMode val="edge"/>
          <c:x val="0.26804938271604939"/>
          <c:y val="2.7118644067796609E-2"/>
        </c:manualLayout>
      </c:layout>
      <c:overlay val="0"/>
    </c:title>
    <c:autoTitleDeleted val="0"/>
    <c:plotArea>
      <c:layout/>
      <c:barChart>
        <c:barDir val="col"/>
        <c:grouping val="percentStacked"/>
        <c:varyColors val="0"/>
        <c:ser>
          <c:idx val="0"/>
          <c:order val="0"/>
          <c:tx>
            <c:strRef>
              <c:f>Munka1!$A$2</c:f>
              <c:strCache>
                <c:ptCount val="1"/>
                <c:pt idx="0">
                  <c:v>egyáltalán nem</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Munka1!$B$1:$E$1</c:f>
              <c:strCache>
                <c:ptCount val="4"/>
                <c:pt idx="0">
                  <c:v> 0-2 tárgy</c:v>
                </c:pt>
                <c:pt idx="1">
                  <c:v> 3 tárgy</c:v>
                </c:pt>
                <c:pt idx="2">
                  <c:v>4 tárgy</c:v>
                </c:pt>
                <c:pt idx="3">
                  <c:v>5 tárgy</c:v>
                </c:pt>
              </c:strCache>
            </c:strRef>
          </c:cat>
          <c:val>
            <c:numRef>
              <c:f>Munka1!$B$2:$E$2</c:f>
              <c:numCache>
                <c:formatCode>0.0%</c:formatCode>
                <c:ptCount val="4"/>
                <c:pt idx="0">
                  <c:v>4.2000000000000003E-2</c:v>
                </c:pt>
                <c:pt idx="1">
                  <c:v>0.28000000000000003</c:v>
                </c:pt>
                <c:pt idx="2">
                  <c:v>0.154</c:v>
                </c:pt>
                <c:pt idx="3">
                  <c:v>8.3000000000000004E-2</c:v>
                </c:pt>
              </c:numCache>
            </c:numRef>
          </c:val>
        </c:ser>
        <c:ser>
          <c:idx val="1"/>
          <c:order val="1"/>
          <c:tx>
            <c:strRef>
              <c:f>Munka1!$A$3</c:f>
              <c:strCache>
                <c:ptCount val="1"/>
                <c:pt idx="0">
                  <c:v>inkább nem</c:v>
                </c:pt>
              </c:strCache>
            </c:strRef>
          </c:tx>
          <c:spPr>
            <a:solidFill>
              <a:schemeClr val="accent1">
                <a:lumMod val="60000"/>
                <a:lumOff val="40000"/>
              </a:schemeClr>
            </a:solidFill>
            <a:ln>
              <a:noFill/>
            </a:ln>
            <a:effectLst/>
          </c:spPr>
          <c:invertIfNegative val="0"/>
          <c:dLbls>
            <c:spPr>
              <a:noFill/>
              <a:ln>
                <a:noFill/>
              </a:ln>
              <a:effectLst/>
            </c:spPr>
            <c:txPr>
              <a:bodyPr wrap="square" lIns="38100" tIns="19050" rIns="38100" bIns="19050" anchor="ctr">
                <a:spAutoFit/>
              </a:bodyPr>
              <a:lstStyle/>
              <a:p>
                <a:pPr>
                  <a:defRPr sz="900"/>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Munka1!$B$1:$E$1</c:f>
              <c:strCache>
                <c:ptCount val="4"/>
                <c:pt idx="0">
                  <c:v> 0-2 tárgy</c:v>
                </c:pt>
                <c:pt idx="1">
                  <c:v> 3 tárgy</c:v>
                </c:pt>
                <c:pt idx="2">
                  <c:v>4 tárgy</c:v>
                </c:pt>
                <c:pt idx="3">
                  <c:v>5 tárgy</c:v>
                </c:pt>
              </c:strCache>
            </c:strRef>
          </c:cat>
          <c:val>
            <c:numRef>
              <c:f>Munka1!$B$3:$E$3</c:f>
              <c:numCache>
                <c:formatCode>0.0%</c:formatCode>
                <c:ptCount val="4"/>
                <c:pt idx="0">
                  <c:v>0.375</c:v>
                </c:pt>
                <c:pt idx="1">
                  <c:v>0.24</c:v>
                </c:pt>
                <c:pt idx="2">
                  <c:v>0.38500000000000001</c:v>
                </c:pt>
                <c:pt idx="3">
                  <c:v>0.41699999999999998</c:v>
                </c:pt>
              </c:numCache>
            </c:numRef>
          </c:val>
        </c:ser>
        <c:ser>
          <c:idx val="2"/>
          <c:order val="2"/>
          <c:tx>
            <c:strRef>
              <c:f>Munka1!$A$4</c:f>
              <c:strCache>
                <c:ptCount val="1"/>
                <c:pt idx="0">
                  <c:v>inkább igen</c:v>
                </c:pt>
              </c:strCache>
            </c:strRef>
          </c:tx>
          <c:spPr>
            <a:solidFill>
              <a:schemeClr val="accent3"/>
            </a:solidFill>
            <a:ln>
              <a:noFill/>
            </a:ln>
            <a:effectLst/>
          </c:spPr>
          <c:invertIfNegative val="0"/>
          <c:dLbls>
            <c:spPr>
              <a:noFill/>
              <a:ln>
                <a:noFill/>
              </a:ln>
              <a:effectLst/>
            </c:spPr>
            <c:txPr>
              <a:bodyPr wrap="square" lIns="38100" tIns="19050" rIns="38100" bIns="19050" anchor="ctr">
                <a:spAutoFit/>
              </a:bodyPr>
              <a:lstStyle/>
              <a:p>
                <a:pPr>
                  <a:defRPr sz="900"/>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Munka1!$B$1:$E$1</c:f>
              <c:strCache>
                <c:ptCount val="4"/>
                <c:pt idx="0">
                  <c:v> 0-2 tárgy</c:v>
                </c:pt>
                <c:pt idx="1">
                  <c:v> 3 tárgy</c:v>
                </c:pt>
                <c:pt idx="2">
                  <c:v>4 tárgy</c:v>
                </c:pt>
                <c:pt idx="3">
                  <c:v>5 tárgy</c:v>
                </c:pt>
              </c:strCache>
            </c:strRef>
          </c:cat>
          <c:val>
            <c:numRef>
              <c:f>Munka1!$B$4:$E$4</c:f>
              <c:numCache>
                <c:formatCode>0.0%</c:formatCode>
                <c:ptCount val="4"/>
                <c:pt idx="0">
                  <c:v>0.41699999999999998</c:v>
                </c:pt>
                <c:pt idx="1">
                  <c:v>0.32</c:v>
                </c:pt>
                <c:pt idx="2">
                  <c:v>0.26900000000000002</c:v>
                </c:pt>
                <c:pt idx="3">
                  <c:v>0.33300000000000002</c:v>
                </c:pt>
              </c:numCache>
            </c:numRef>
          </c:val>
        </c:ser>
        <c:ser>
          <c:idx val="3"/>
          <c:order val="3"/>
          <c:tx>
            <c:strRef>
              <c:f>Munka1!$A$5</c:f>
              <c:strCache>
                <c:ptCount val="1"/>
                <c:pt idx="0">
                  <c:v>teljesen</c:v>
                </c:pt>
              </c:strCache>
            </c:strRef>
          </c:tx>
          <c:spPr>
            <a:solidFill>
              <a:srgbClr val="92D050"/>
            </a:solidFill>
            <a:ln>
              <a:noFill/>
            </a:ln>
            <a:effectLst/>
          </c:spPr>
          <c:invertIfNegative val="0"/>
          <c:dLbls>
            <c:spPr>
              <a:noFill/>
              <a:ln>
                <a:noFill/>
              </a:ln>
              <a:effectLst/>
            </c:spPr>
            <c:txPr>
              <a:bodyPr wrap="square" lIns="38100" tIns="19050" rIns="38100" bIns="19050" anchor="ctr">
                <a:spAutoFit/>
              </a:bodyPr>
              <a:lstStyle/>
              <a:p>
                <a:pPr>
                  <a:defRPr sz="900"/>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Munka1!$B$1:$E$1</c:f>
              <c:strCache>
                <c:ptCount val="4"/>
                <c:pt idx="0">
                  <c:v> 0-2 tárgy</c:v>
                </c:pt>
                <c:pt idx="1">
                  <c:v> 3 tárgy</c:v>
                </c:pt>
                <c:pt idx="2">
                  <c:v>4 tárgy</c:v>
                </c:pt>
                <c:pt idx="3">
                  <c:v>5 tárgy</c:v>
                </c:pt>
              </c:strCache>
            </c:strRef>
          </c:cat>
          <c:val>
            <c:numRef>
              <c:f>Munka1!$B$5:$E$5</c:f>
              <c:numCache>
                <c:formatCode>0.0%</c:formatCode>
                <c:ptCount val="4"/>
                <c:pt idx="0">
                  <c:v>0.16700000000000001</c:v>
                </c:pt>
                <c:pt idx="1">
                  <c:v>0.16</c:v>
                </c:pt>
                <c:pt idx="2">
                  <c:v>0.192</c:v>
                </c:pt>
                <c:pt idx="3">
                  <c:v>0.16700000000000001</c:v>
                </c:pt>
              </c:numCache>
            </c:numRef>
          </c:val>
        </c:ser>
        <c:dLbls>
          <c:showLegendKey val="0"/>
          <c:showVal val="0"/>
          <c:showCatName val="0"/>
          <c:showSerName val="0"/>
          <c:showPercent val="0"/>
          <c:showBubbleSize val="0"/>
        </c:dLbls>
        <c:gapWidth val="75"/>
        <c:overlap val="100"/>
        <c:axId val="228924800"/>
        <c:axId val="229519312"/>
      </c:barChart>
      <c:catAx>
        <c:axId val="22892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29519312"/>
        <c:crosses val="autoZero"/>
        <c:auto val="1"/>
        <c:lblAlgn val="ctr"/>
        <c:lblOffset val="100"/>
        <c:noMultiLvlLbl val="0"/>
      </c:catAx>
      <c:valAx>
        <c:axId val="229519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hu-HU"/>
          </a:p>
        </c:txPr>
        <c:crossAx val="228924800"/>
        <c:crosses val="autoZero"/>
        <c:crossBetween val="between"/>
        <c:majorUnit val="0.2"/>
      </c:valAx>
      <c:spPr>
        <a:noFill/>
        <a:ln w="25400">
          <a:noFill/>
        </a:ln>
        <a:effectLst/>
      </c:spPr>
    </c:plotArea>
    <c:legend>
      <c:legendPos val="b"/>
      <c:layout>
        <c:manualLayout>
          <c:xMode val="edge"/>
          <c:yMode val="edge"/>
          <c:x val="0.17187449608014685"/>
          <c:y val="0.8437741282339708"/>
          <c:w val="0.82123080589966946"/>
          <c:h val="0.1302742926364973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noFill/>
    <a:ln>
      <a:noFill/>
    </a:ln>
    <a:effectLst/>
  </c:spPr>
  <c:txPr>
    <a:bodyPr/>
    <a:lstStyle/>
    <a:p>
      <a:pPr>
        <a:defRPr/>
      </a:pPr>
      <a:endParaRPr lang="hu-H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'[táblázatok.xlsx]Sheet1 (3)'!$H$12</c:f>
              <c:strCache>
                <c:ptCount val="1"/>
                <c:pt idx="0">
                  <c:v>Bemeneti mérés</c:v>
                </c:pt>
              </c:strCache>
            </c:strRef>
          </c:tx>
          <c:spPr>
            <a:noFill/>
            <a:ln w="31750">
              <a:solidFill>
                <a:schemeClr val="accent3"/>
              </a:solidFill>
            </a:ln>
          </c:spPr>
          <c:invertIfNegative val="0"/>
          <c:cat>
            <c:multiLvlStrRef>
              <c:f>'[táblázatok.xlsx]Sheet1 (3)'!$F$13:$G$19</c:f>
              <c:multiLvlStrCache>
                <c:ptCount val="7"/>
                <c:lvl>
                  <c:pt idx="0">
                    <c:v>0-1 pozitív állítás</c:v>
                  </c:pt>
                  <c:pt idx="1">
                    <c:v>2-3 pozitív állítás</c:v>
                  </c:pt>
                  <c:pt idx="2">
                    <c:v>4 pozitív állítás</c:v>
                  </c:pt>
                  <c:pt idx="4">
                    <c:v>0-1 pozitív állítás</c:v>
                  </c:pt>
                  <c:pt idx="5">
                    <c:v>2-3 pozitív állítás</c:v>
                  </c:pt>
                  <c:pt idx="6">
                    <c:v>4 pozitív állítás</c:v>
                  </c:pt>
                </c:lvl>
                <c:lvl>
                  <c:pt idx="0">
                    <c:v>Kontroll csoport</c:v>
                  </c:pt>
                  <c:pt idx="3">
                    <c:v>&lt;--&gt;</c:v>
                  </c:pt>
                  <c:pt idx="4">
                    <c:v>Kísérleti csoport</c:v>
                  </c:pt>
                </c:lvl>
              </c:multiLvlStrCache>
            </c:multiLvlStrRef>
          </c:cat>
          <c:val>
            <c:numRef>
              <c:f>'[táblázatok.xlsx]Sheet1 (3)'!$H$13:$H$19</c:f>
              <c:numCache>
                <c:formatCode>General</c:formatCode>
                <c:ptCount val="7"/>
                <c:pt idx="0">
                  <c:v>17</c:v>
                </c:pt>
                <c:pt idx="1">
                  <c:v>12</c:v>
                </c:pt>
                <c:pt idx="2">
                  <c:v>14</c:v>
                </c:pt>
                <c:pt idx="4">
                  <c:v>17</c:v>
                </c:pt>
                <c:pt idx="5">
                  <c:v>18</c:v>
                </c:pt>
                <c:pt idx="6">
                  <c:v>9</c:v>
                </c:pt>
              </c:numCache>
            </c:numRef>
          </c:val>
        </c:ser>
        <c:dLbls>
          <c:showLegendKey val="0"/>
          <c:showVal val="0"/>
          <c:showCatName val="0"/>
          <c:showSerName val="0"/>
          <c:showPercent val="0"/>
          <c:showBubbleSize val="0"/>
        </c:dLbls>
        <c:gapWidth val="39"/>
        <c:axId val="154718368"/>
        <c:axId val="155213352"/>
      </c:barChart>
      <c:barChart>
        <c:barDir val="col"/>
        <c:grouping val="clustered"/>
        <c:varyColors val="0"/>
        <c:ser>
          <c:idx val="1"/>
          <c:order val="1"/>
          <c:tx>
            <c:strRef>
              <c:f>'[táblázatok.xlsx]Sheet1 (3)'!$I$12</c:f>
              <c:strCache>
                <c:ptCount val="1"/>
                <c:pt idx="0">
                  <c:v>Kimeneti mérés</c:v>
                </c:pt>
              </c:strCache>
            </c:strRef>
          </c:tx>
          <c:spPr>
            <a:solidFill>
              <a:schemeClr val="tx2">
                <a:lumMod val="60000"/>
                <a:lumOff val="40000"/>
              </a:schemeClr>
            </a:solidFill>
          </c:spPr>
          <c:invertIfNegative val="0"/>
          <c:dLbls>
            <c:dLbl>
              <c:idx val="0"/>
              <c:layout>
                <c:manualLayout>
                  <c:x val="0"/>
                  <c:y val="7.89844734945934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659968697030343E-17"/>
                  <c:y val="6.77009772810801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659968697030343E-17"/>
                  <c:y val="7.89844734945935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319937394060687E-17"/>
                  <c:y val="8.27456388990980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5319937394060687E-17"/>
                  <c:y val="7.89844734945934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9.402913511261136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'[táblázatok.xlsx]Sheet1 (3)'!$F$13:$G$19</c:f>
              <c:multiLvlStrCache>
                <c:ptCount val="7"/>
                <c:lvl>
                  <c:pt idx="0">
                    <c:v>0-1 pozitív állítás</c:v>
                  </c:pt>
                  <c:pt idx="1">
                    <c:v>2-3 pozitív állítás</c:v>
                  </c:pt>
                  <c:pt idx="2">
                    <c:v>4 pozitív állítás</c:v>
                  </c:pt>
                  <c:pt idx="4">
                    <c:v>0-1 pozitív állítás</c:v>
                  </c:pt>
                  <c:pt idx="5">
                    <c:v>2-3 pozitív állítás</c:v>
                  </c:pt>
                  <c:pt idx="6">
                    <c:v>4 pozitív állítás</c:v>
                  </c:pt>
                </c:lvl>
                <c:lvl>
                  <c:pt idx="0">
                    <c:v>Kontroll csoport</c:v>
                  </c:pt>
                  <c:pt idx="3">
                    <c:v>&lt;--&gt;</c:v>
                  </c:pt>
                  <c:pt idx="4">
                    <c:v>Kísérleti csoport</c:v>
                  </c:pt>
                </c:lvl>
              </c:multiLvlStrCache>
            </c:multiLvlStrRef>
          </c:cat>
          <c:val>
            <c:numRef>
              <c:f>'[táblázatok.xlsx]Sheet1 (3)'!$I$13:$I$19</c:f>
              <c:numCache>
                <c:formatCode>General</c:formatCode>
                <c:ptCount val="7"/>
                <c:pt idx="0">
                  <c:v>13</c:v>
                </c:pt>
                <c:pt idx="1">
                  <c:v>20</c:v>
                </c:pt>
                <c:pt idx="2">
                  <c:v>11</c:v>
                </c:pt>
                <c:pt idx="4">
                  <c:v>19</c:v>
                </c:pt>
                <c:pt idx="5">
                  <c:v>15</c:v>
                </c:pt>
                <c:pt idx="6">
                  <c:v>10</c:v>
                </c:pt>
              </c:numCache>
            </c:numRef>
          </c:val>
        </c:ser>
        <c:dLbls>
          <c:showLegendKey val="0"/>
          <c:showVal val="0"/>
          <c:showCatName val="0"/>
          <c:showSerName val="0"/>
          <c:showPercent val="0"/>
          <c:showBubbleSize val="0"/>
        </c:dLbls>
        <c:gapWidth val="150"/>
        <c:axId val="155214136"/>
        <c:axId val="155213744"/>
      </c:barChart>
      <c:catAx>
        <c:axId val="154718368"/>
        <c:scaling>
          <c:orientation val="minMax"/>
        </c:scaling>
        <c:delete val="0"/>
        <c:axPos val="b"/>
        <c:numFmt formatCode="General" sourceLinked="0"/>
        <c:majorTickMark val="out"/>
        <c:minorTickMark val="none"/>
        <c:tickLblPos val="nextTo"/>
        <c:txPr>
          <a:bodyPr/>
          <a:lstStyle/>
          <a:p>
            <a:pPr>
              <a:defRPr sz="900"/>
            </a:pPr>
            <a:endParaRPr lang="hu-HU"/>
          </a:p>
        </c:txPr>
        <c:crossAx val="155213352"/>
        <c:crosses val="autoZero"/>
        <c:auto val="1"/>
        <c:lblAlgn val="ctr"/>
        <c:lblOffset val="100"/>
        <c:noMultiLvlLbl val="0"/>
      </c:catAx>
      <c:valAx>
        <c:axId val="155213352"/>
        <c:scaling>
          <c:orientation val="minMax"/>
          <c:max val="25"/>
        </c:scaling>
        <c:delete val="0"/>
        <c:axPos val="l"/>
        <c:majorGridlines/>
        <c:numFmt formatCode="General" sourceLinked="1"/>
        <c:majorTickMark val="out"/>
        <c:minorTickMark val="none"/>
        <c:tickLblPos val="nextTo"/>
        <c:crossAx val="154718368"/>
        <c:crosses val="autoZero"/>
        <c:crossBetween val="between"/>
      </c:valAx>
      <c:valAx>
        <c:axId val="155213744"/>
        <c:scaling>
          <c:orientation val="minMax"/>
        </c:scaling>
        <c:delete val="1"/>
        <c:axPos val="r"/>
        <c:numFmt formatCode="General" sourceLinked="1"/>
        <c:majorTickMark val="out"/>
        <c:minorTickMark val="none"/>
        <c:tickLblPos val="nextTo"/>
        <c:crossAx val="155214136"/>
        <c:crosses val="max"/>
        <c:crossBetween val="between"/>
      </c:valAx>
      <c:catAx>
        <c:axId val="155214136"/>
        <c:scaling>
          <c:orientation val="minMax"/>
        </c:scaling>
        <c:delete val="1"/>
        <c:axPos val="b"/>
        <c:numFmt formatCode="General" sourceLinked="1"/>
        <c:majorTickMark val="out"/>
        <c:minorTickMark val="none"/>
        <c:tickLblPos val="nextTo"/>
        <c:crossAx val="155213744"/>
        <c:crosses val="autoZero"/>
        <c:auto val="1"/>
        <c:lblAlgn val="ctr"/>
        <c:lblOffset val="100"/>
        <c:noMultiLvlLbl val="0"/>
      </c:cat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'[táblázatok.xlsx]Sheet1 (4)'!$H$12</c:f>
              <c:strCache>
                <c:ptCount val="1"/>
                <c:pt idx="0">
                  <c:v>Bemeneti mérés</c:v>
                </c:pt>
              </c:strCache>
            </c:strRef>
          </c:tx>
          <c:spPr>
            <a:noFill/>
            <a:ln w="31750">
              <a:solidFill>
                <a:schemeClr val="accent3"/>
              </a:solidFill>
            </a:ln>
          </c:spPr>
          <c:invertIfNegative val="0"/>
          <c:cat>
            <c:multiLvlStrRef>
              <c:f>'[táblázatok.xlsx]Sheet1 (4)'!$F$13:$G$19</c:f>
              <c:multiLvlStrCache>
                <c:ptCount val="7"/>
                <c:lvl>
                  <c:pt idx="0">
                    <c:v>0-4 pozitív állítás</c:v>
                  </c:pt>
                  <c:pt idx="1">
                    <c:v>5-6 pozitív állítás</c:v>
                  </c:pt>
                  <c:pt idx="2">
                    <c:v>7-10 pozitív állítás</c:v>
                  </c:pt>
                  <c:pt idx="4">
                    <c:v>0-4 pozitív állítás</c:v>
                  </c:pt>
                  <c:pt idx="5">
                    <c:v>5-6 pozitív állítás</c:v>
                  </c:pt>
                  <c:pt idx="6">
                    <c:v>7-10 pozitív állítás</c:v>
                  </c:pt>
                </c:lvl>
                <c:lvl>
                  <c:pt idx="0">
                    <c:v>Kontroll csoport</c:v>
                  </c:pt>
                  <c:pt idx="3">
                    <c:v>&lt;--&gt;</c:v>
                  </c:pt>
                  <c:pt idx="4">
                    <c:v>Kísérleti csoport</c:v>
                  </c:pt>
                </c:lvl>
              </c:multiLvlStrCache>
            </c:multiLvlStrRef>
          </c:cat>
          <c:val>
            <c:numRef>
              <c:f>'[táblázatok.xlsx]Sheet1 (4)'!$H$13:$H$19</c:f>
              <c:numCache>
                <c:formatCode>General</c:formatCode>
                <c:ptCount val="7"/>
                <c:pt idx="0">
                  <c:v>12</c:v>
                </c:pt>
                <c:pt idx="1">
                  <c:v>9</c:v>
                </c:pt>
                <c:pt idx="2">
                  <c:v>23</c:v>
                </c:pt>
                <c:pt idx="4">
                  <c:v>13</c:v>
                </c:pt>
                <c:pt idx="5">
                  <c:v>15</c:v>
                </c:pt>
                <c:pt idx="6">
                  <c:v>16</c:v>
                </c:pt>
              </c:numCache>
            </c:numRef>
          </c:val>
        </c:ser>
        <c:dLbls>
          <c:showLegendKey val="0"/>
          <c:showVal val="0"/>
          <c:showCatName val="0"/>
          <c:showSerName val="0"/>
          <c:showPercent val="0"/>
          <c:showBubbleSize val="0"/>
        </c:dLbls>
        <c:gapWidth val="39"/>
        <c:axId val="155214920"/>
        <c:axId val="155215312"/>
      </c:barChart>
      <c:barChart>
        <c:barDir val="col"/>
        <c:grouping val="clustered"/>
        <c:varyColors val="0"/>
        <c:ser>
          <c:idx val="1"/>
          <c:order val="1"/>
          <c:tx>
            <c:strRef>
              <c:f>'[táblázatok.xlsx]Sheet1 (4)'!$I$12</c:f>
              <c:strCache>
                <c:ptCount val="1"/>
                <c:pt idx="0">
                  <c:v>Kimeneti mérés</c:v>
                </c:pt>
              </c:strCache>
            </c:strRef>
          </c:tx>
          <c:spPr>
            <a:solidFill>
              <a:schemeClr val="tx2">
                <a:lumMod val="60000"/>
                <a:lumOff val="40000"/>
              </a:schemeClr>
            </a:solidFill>
          </c:spPr>
          <c:invertIfNegative val="0"/>
          <c:dLbls>
            <c:dLbl>
              <c:idx val="0"/>
              <c:layout>
                <c:manualLayout>
                  <c:x val="0"/>
                  <c:y val="7.89844734945934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659968697030343E-17"/>
                  <c:y val="6.77009772810801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659968697030343E-17"/>
                  <c:y val="7.89844734945935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319937394060687E-17"/>
                  <c:y val="8.27456388990980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5319937394060687E-17"/>
                  <c:y val="7.89844734945934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9.402913511261136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'[táblázatok.xlsx]Sheet1 (4)'!$F$13:$G$19</c:f>
              <c:multiLvlStrCache>
                <c:ptCount val="7"/>
                <c:lvl>
                  <c:pt idx="0">
                    <c:v>0-4 pozitív állítás</c:v>
                  </c:pt>
                  <c:pt idx="1">
                    <c:v>5-6 pozitív állítás</c:v>
                  </c:pt>
                  <c:pt idx="2">
                    <c:v>7-10 pozitív állítás</c:v>
                  </c:pt>
                  <c:pt idx="4">
                    <c:v>0-4 pozitív állítás</c:v>
                  </c:pt>
                  <c:pt idx="5">
                    <c:v>5-6 pozitív állítás</c:v>
                  </c:pt>
                  <c:pt idx="6">
                    <c:v>7-10 pozitív állítás</c:v>
                  </c:pt>
                </c:lvl>
                <c:lvl>
                  <c:pt idx="0">
                    <c:v>Kontroll csoport</c:v>
                  </c:pt>
                  <c:pt idx="3">
                    <c:v>&lt;--&gt;</c:v>
                  </c:pt>
                  <c:pt idx="4">
                    <c:v>Kísérleti csoport</c:v>
                  </c:pt>
                </c:lvl>
              </c:multiLvlStrCache>
            </c:multiLvlStrRef>
          </c:cat>
          <c:val>
            <c:numRef>
              <c:f>'[táblázatok.xlsx]Sheet1 (4)'!$I$13:$I$19</c:f>
              <c:numCache>
                <c:formatCode>General</c:formatCode>
                <c:ptCount val="7"/>
                <c:pt idx="0">
                  <c:v>13</c:v>
                </c:pt>
                <c:pt idx="1">
                  <c:v>10</c:v>
                </c:pt>
                <c:pt idx="2">
                  <c:v>21</c:v>
                </c:pt>
                <c:pt idx="4">
                  <c:v>15</c:v>
                </c:pt>
                <c:pt idx="5">
                  <c:v>15</c:v>
                </c:pt>
                <c:pt idx="6">
                  <c:v>14</c:v>
                </c:pt>
              </c:numCache>
            </c:numRef>
          </c:val>
        </c:ser>
        <c:dLbls>
          <c:showLegendKey val="0"/>
          <c:showVal val="0"/>
          <c:showCatName val="0"/>
          <c:showSerName val="0"/>
          <c:showPercent val="0"/>
          <c:showBubbleSize val="0"/>
        </c:dLbls>
        <c:gapWidth val="150"/>
        <c:axId val="155216096"/>
        <c:axId val="155215704"/>
      </c:barChart>
      <c:catAx>
        <c:axId val="155214920"/>
        <c:scaling>
          <c:orientation val="minMax"/>
        </c:scaling>
        <c:delete val="0"/>
        <c:axPos val="b"/>
        <c:numFmt formatCode="General" sourceLinked="0"/>
        <c:majorTickMark val="out"/>
        <c:minorTickMark val="none"/>
        <c:tickLblPos val="nextTo"/>
        <c:crossAx val="155215312"/>
        <c:crosses val="autoZero"/>
        <c:auto val="1"/>
        <c:lblAlgn val="ctr"/>
        <c:lblOffset val="100"/>
        <c:noMultiLvlLbl val="0"/>
      </c:catAx>
      <c:valAx>
        <c:axId val="155215312"/>
        <c:scaling>
          <c:orientation val="minMax"/>
          <c:max val="30"/>
        </c:scaling>
        <c:delete val="0"/>
        <c:axPos val="l"/>
        <c:majorGridlines/>
        <c:numFmt formatCode="General" sourceLinked="1"/>
        <c:majorTickMark val="out"/>
        <c:minorTickMark val="none"/>
        <c:tickLblPos val="nextTo"/>
        <c:crossAx val="155214920"/>
        <c:crosses val="autoZero"/>
        <c:crossBetween val="between"/>
      </c:valAx>
      <c:valAx>
        <c:axId val="155215704"/>
        <c:scaling>
          <c:orientation val="minMax"/>
        </c:scaling>
        <c:delete val="1"/>
        <c:axPos val="r"/>
        <c:numFmt formatCode="General" sourceLinked="1"/>
        <c:majorTickMark val="out"/>
        <c:minorTickMark val="none"/>
        <c:tickLblPos val="nextTo"/>
        <c:crossAx val="155216096"/>
        <c:crosses val="max"/>
        <c:crossBetween val="between"/>
      </c:valAx>
      <c:catAx>
        <c:axId val="155216096"/>
        <c:scaling>
          <c:orientation val="minMax"/>
        </c:scaling>
        <c:delete val="1"/>
        <c:axPos val="b"/>
        <c:numFmt formatCode="General" sourceLinked="1"/>
        <c:majorTickMark val="out"/>
        <c:minorTickMark val="none"/>
        <c:tickLblPos val="nextTo"/>
        <c:crossAx val="155215704"/>
        <c:crosses val="autoZero"/>
        <c:auto val="1"/>
        <c:lblAlgn val="ctr"/>
        <c:lblOffset val="100"/>
        <c:noMultiLvlLbl val="0"/>
      </c:cat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 (5)'!$H$12</c:f>
              <c:strCache>
                <c:ptCount val="1"/>
                <c:pt idx="0">
                  <c:v>Bemeneti mérés</c:v>
                </c:pt>
              </c:strCache>
            </c:strRef>
          </c:tx>
          <c:spPr>
            <a:noFill/>
            <a:ln w="31750">
              <a:solidFill>
                <a:schemeClr val="accent3"/>
              </a:solidFill>
            </a:ln>
          </c:spPr>
          <c:invertIfNegative val="0"/>
          <c:cat>
            <c:strRef>
              <c:f>'Sheet1 (5)'!$G$13:$G$15</c:f>
              <c:strCache>
                <c:ptCount val="3"/>
                <c:pt idx="0">
                  <c:v>Haladó</c:v>
                </c:pt>
                <c:pt idx="1">
                  <c:v>Befejező</c:v>
                </c:pt>
                <c:pt idx="2">
                  <c:v>Optimális</c:v>
                </c:pt>
              </c:strCache>
            </c:strRef>
          </c:cat>
          <c:val>
            <c:numRef>
              <c:f>'Sheet1 (5)'!$H$13:$H$15</c:f>
              <c:numCache>
                <c:formatCode>0%</c:formatCode>
                <c:ptCount val="3"/>
                <c:pt idx="0">
                  <c:v>0.22</c:v>
                </c:pt>
                <c:pt idx="1">
                  <c:v>0.71</c:v>
                </c:pt>
                <c:pt idx="2">
                  <c:v>7.0000000000000007E-2</c:v>
                </c:pt>
              </c:numCache>
            </c:numRef>
          </c:val>
        </c:ser>
        <c:dLbls>
          <c:showLegendKey val="0"/>
          <c:showVal val="0"/>
          <c:showCatName val="0"/>
          <c:showSerName val="0"/>
          <c:showPercent val="0"/>
          <c:showBubbleSize val="0"/>
        </c:dLbls>
        <c:gapWidth val="39"/>
        <c:axId val="155216880"/>
        <c:axId val="154775928"/>
      </c:barChart>
      <c:barChart>
        <c:barDir val="col"/>
        <c:grouping val="clustered"/>
        <c:varyColors val="0"/>
        <c:ser>
          <c:idx val="1"/>
          <c:order val="1"/>
          <c:tx>
            <c:strRef>
              <c:f>'Sheet1 (5)'!$I$12</c:f>
              <c:strCache>
                <c:ptCount val="1"/>
                <c:pt idx="0">
                  <c:v>Kimeneti mérés</c:v>
                </c:pt>
              </c:strCache>
            </c:strRef>
          </c:tx>
          <c:spPr>
            <a:solidFill>
              <a:schemeClr val="tx2">
                <a:lumMod val="60000"/>
                <a:lumOff val="40000"/>
              </a:schemeClr>
            </a:solidFill>
          </c:spPr>
          <c:invertIfNegative val="0"/>
          <c:dLbls>
            <c:dLbl>
              <c:idx val="0"/>
              <c:layout>
                <c:manualLayout>
                  <c:x val="0"/>
                  <c:y val="7.898447349459347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659968697030343E-17"/>
                  <c:y val="6.77009772810801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659968697030343E-17"/>
                  <c:y val="7.89844734945935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 (5)'!$F$13:$G$19</c:f>
              <c:strCache>
                <c:ptCount val="3"/>
                <c:pt idx="0">
                  <c:v>Haladó</c:v>
                </c:pt>
                <c:pt idx="1">
                  <c:v>Befejező</c:v>
                </c:pt>
                <c:pt idx="2">
                  <c:v>Optimális</c:v>
                </c:pt>
              </c:strCache>
            </c:strRef>
          </c:cat>
          <c:val>
            <c:numRef>
              <c:f>'Sheet1 (5)'!$I$13:$I$15</c:f>
              <c:numCache>
                <c:formatCode>0%</c:formatCode>
                <c:ptCount val="3"/>
                <c:pt idx="0">
                  <c:v>0.06</c:v>
                </c:pt>
                <c:pt idx="1">
                  <c:v>0.78</c:v>
                </c:pt>
                <c:pt idx="2">
                  <c:v>0.16</c:v>
                </c:pt>
              </c:numCache>
            </c:numRef>
          </c:val>
          <c:extLst/>
        </c:ser>
        <c:dLbls>
          <c:showLegendKey val="0"/>
          <c:showVal val="0"/>
          <c:showCatName val="0"/>
          <c:showSerName val="0"/>
          <c:showPercent val="0"/>
          <c:showBubbleSize val="0"/>
        </c:dLbls>
        <c:gapWidth val="150"/>
        <c:axId val="154776712"/>
        <c:axId val="154776320"/>
      </c:barChart>
      <c:catAx>
        <c:axId val="155216880"/>
        <c:scaling>
          <c:orientation val="minMax"/>
        </c:scaling>
        <c:delete val="0"/>
        <c:axPos val="b"/>
        <c:numFmt formatCode="General" sourceLinked="0"/>
        <c:majorTickMark val="out"/>
        <c:minorTickMark val="none"/>
        <c:tickLblPos val="nextTo"/>
        <c:crossAx val="154775928"/>
        <c:crosses val="autoZero"/>
        <c:auto val="1"/>
        <c:lblAlgn val="ctr"/>
        <c:lblOffset val="100"/>
        <c:noMultiLvlLbl val="0"/>
      </c:catAx>
      <c:valAx>
        <c:axId val="154775928"/>
        <c:scaling>
          <c:orientation val="minMax"/>
          <c:max val="1"/>
          <c:min val="0"/>
        </c:scaling>
        <c:delete val="0"/>
        <c:axPos val="l"/>
        <c:majorGridlines/>
        <c:numFmt formatCode="0%" sourceLinked="1"/>
        <c:majorTickMark val="out"/>
        <c:minorTickMark val="none"/>
        <c:tickLblPos val="nextTo"/>
        <c:crossAx val="155216880"/>
        <c:crosses val="autoZero"/>
        <c:crossBetween val="between"/>
      </c:valAx>
      <c:valAx>
        <c:axId val="154776320"/>
        <c:scaling>
          <c:orientation val="minMax"/>
        </c:scaling>
        <c:delete val="1"/>
        <c:axPos val="r"/>
        <c:numFmt formatCode="0%" sourceLinked="1"/>
        <c:majorTickMark val="out"/>
        <c:minorTickMark val="none"/>
        <c:tickLblPos val="nextTo"/>
        <c:crossAx val="154776712"/>
        <c:crosses val="max"/>
        <c:crossBetween val="between"/>
      </c:valAx>
      <c:catAx>
        <c:axId val="154776712"/>
        <c:scaling>
          <c:orientation val="minMax"/>
        </c:scaling>
        <c:delete val="1"/>
        <c:axPos val="b"/>
        <c:numFmt formatCode="General" sourceLinked="1"/>
        <c:majorTickMark val="out"/>
        <c:minorTickMark val="none"/>
        <c:tickLblPos val="nextTo"/>
        <c:crossAx val="154776320"/>
        <c:crosses val="autoZero"/>
        <c:auto val="1"/>
        <c:lblAlgn val="ctr"/>
        <c:lblOffset val="100"/>
        <c:noMultiLvlLbl val="0"/>
      </c:cat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'[táblázatok_2.xlsx]Sheet1 (9)'!$G$12</c:f>
              <c:strCache>
                <c:ptCount val="1"/>
                <c:pt idx="0">
                  <c:v>Bemeneti mérés</c:v>
                </c:pt>
              </c:strCache>
            </c:strRef>
          </c:tx>
          <c:spPr>
            <a:noFill/>
            <a:ln w="31750">
              <a:solidFill>
                <a:schemeClr val="accent3"/>
              </a:solidFill>
            </a:ln>
          </c:spPr>
          <c:invertIfNegative val="0"/>
          <c:cat>
            <c:multiLvlStrRef>
              <c:f>'[táblázatok_2.xlsx]Sheet1 (9)'!$E$13:$F$19</c:f>
              <c:multiLvlStrCache>
                <c:ptCount val="7"/>
                <c:lvl>
                  <c:pt idx="0">
                    <c:v>Haladó</c:v>
                  </c:pt>
                  <c:pt idx="1">
                    <c:v>Befejező</c:v>
                  </c:pt>
                  <c:pt idx="2">
                    <c:v>Optimális</c:v>
                  </c:pt>
                  <c:pt idx="4">
                    <c:v>Haladó</c:v>
                  </c:pt>
                  <c:pt idx="5">
                    <c:v>Befejező</c:v>
                  </c:pt>
                  <c:pt idx="6">
                    <c:v>Optimális</c:v>
                  </c:pt>
                </c:lvl>
                <c:lvl>
                  <c:pt idx="0">
                    <c:v>Kontroll csoport</c:v>
                  </c:pt>
                  <c:pt idx="3">
                    <c:v>&lt;--&gt;</c:v>
                  </c:pt>
                  <c:pt idx="4">
                    <c:v>Kísérleti csoport</c:v>
                  </c:pt>
                </c:lvl>
              </c:multiLvlStrCache>
            </c:multiLvlStrRef>
          </c:cat>
          <c:val>
            <c:numRef>
              <c:f>'[táblázatok_2.xlsx]Sheet1 (9)'!$G$13:$G$19</c:f>
              <c:numCache>
                <c:formatCode>General</c:formatCode>
                <c:ptCount val="7"/>
                <c:pt idx="0">
                  <c:v>9</c:v>
                </c:pt>
                <c:pt idx="1">
                  <c:v>31</c:v>
                </c:pt>
                <c:pt idx="2">
                  <c:v>4</c:v>
                </c:pt>
                <c:pt idx="4">
                  <c:v>10</c:v>
                </c:pt>
                <c:pt idx="5">
                  <c:v>32</c:v>
                </c:pt>
                <c:pt idx="6">
                  <c:v>2</c:v>
                </c:pt>
              </c:numCache>
            </c:numRef>
          </c:val>
        </c:ser>
        <c:dLbls>
          <c:showLegendKey val="0"/>
          <c:showVal val="0"/>
          <c:showCatName val="0"/>
          <c:showSerName val="0"/>
          <c:showPercent val="0"/>
          <c:showBubbleSize val="0"/>
        </c:dLbls>
        <c:gapWidth val="39"/>
        <c:axId val="154777496"/>
        <c:axId val="154777888"/>
      </c:barChart>
      <c:barChart>
        <c:barDir val="col"/>
        <c:grouping val="clustered"/>
        <c:varyColors val="0"/>
        <c:ser>
          <c:idx val="1"/>
          <c:order val="1"/>
          <c:tx>
            <c:strRef>
              <c:f>'[táblázatok_2.xlsx]Sheet1 (9)'!$H$12</c:f>
              <c:strCache>
                <c:ptCount val="1"/>
                <c:pt idx="0">
                  <c:v>Kimeneti mérés</c:v>
                </c:pt>
              </c:strCache>
            </c:strRef>
          </c:tx>
          <c:spPr>
            <a:solidFill>
              <a:schemeClr val="tx2">
                <a:lumMod val="60000"/>
                <a:lumOff val="40000"/>
              </a:schemeClr>
            </a:solidFill>
          </c:spPr>
          <c:invertIfNegative val="0"/>
          <c:dLbls>
            <c:dLbl>
              <c:idx val="0"/>
              <c:layout>
                <c:manualLayout>
                  <c:x val="0"/>
                  <c:y val="7.898447349459347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659968697030343E-17"/>
                  <c:y val="6.77009772810801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659968697030343E-17"/>
                  <c:y val="7.898447349459354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319937394060687E-17"/>
                  <c:y val="8.274563889909800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5319937394060687E-17"/>
                  <c:y val="7.898447349459340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9.40291351126113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'[táblázatok_2.xlsx]Sheet1 (9)'!$E$13:$F$19</c:f>
              <c:multiLvlStrCache>
                <c:ptCount val="7"/>
                <c:lvl>
                  <c:pt idx="0">
                    <c:v>Haladó</c:v>
                  </c:pt>
                  <c:pt idx="1">
                    <c:v>Befejező</c:v>
                  </c:pt>
                  <c:pt idx="2">
                    <c:v>Optimális</c:v>
                  </c:pt>
                  <c:pt idx="4">
                    <c:v>Haladó</c:v>
                  </c:pt>
                  <c:pt idx="5">
                    <c:v>Befejező</c:v>
                  </c:pt>
                  <c:pt idx="6">
                    <c:v>Optimális</c:v>
                  </c:pt>
                </c:lvl>
                <c:lvl>
                  <c:pt idx="0">
                    <c:v>Kontroll csoport</c:v>
                  </c:pt>
                  <c:pt idx="3">
                    <c:v>&lt;--&gt;</c:v>
                  </c:pt>
                  <c:pt idx="4">
                    <c:v>Kísérleti csoport</c:v>
                  </c:pt>
                </c:lvl>
              </c:multiLvlStrCache>
            </c:multiLvlStrRef>
          </c:cat>
          <c:val>
            <c:numRef>
              <c:f>'[táblázatok_2.xlsx]Sheet1 (9)'!$H$13:$H$19</c:f>
              <c:numCache>
                <c:formatCode>General</c:formatCode>
                <c:ptCount val="7"/>
                <c:pt idx="0">
                  <c:v>2</c:v>
                </c:pt>
                <c:pt idx="1">
                  <c:v>37</c:v>
                </c:pt>
                <c:pt idx="2">
                  <c:v>5</c:v>
                </c:pt>
                <c:pt idx="4">
                  <c:v>3</c:v>
                </c:pt>
                <c:pt idx="5">
                  <c:v>32</c:v>
                </c:pt>
                <c:pt idx="6">
                  <c:v>9</c:v>
                </c:pt>
              </c:numCache>
            </c:numRef>
          </c:val>
        </c:ser>
        <c:dLbls>
          <c:showLegendKey val="0"/>
          <c:showVal val="0"/>
          <c:showCatName val="0"/>
          <c:showSerName val="0"/>
          <c:showPercent val="0"/>
          <c:showBubbleSize val="0"/>
        </c:dLbls>
        <c:gapWidth val="150"/>
        <c:axId val="154778672"/>
        <c:axId val="154778280"/>
      </c:barChart>
      <c:catAx>
        <c:axId val="154777496"/>
        <c:scaling>
          <c:orientation val="minMax"/>
        </c:scaling>
        <c:delete val="0"/>
        <c:axPos val="b"/>
        <c:numFmt formatCode="General" sourceLinked="0"/>
        <c:majorTickMark val="out"/>
        <c:minorTickMark val="none"/>
        <c:tickLblPos val="nextTo"/>
        <c:crossAx val="154777888"/>
        <c:crosses val="autoZero"/>
        <c:auto val="1"/>
        <c:lblAlgn val="ctr"/>
        <c:lblOffset val="100"/>
        <c:noMultiLvlLbl val="0"/>
      </c:catAx>
      <c:valAx>
        <c:axId val="154777888"/>
        <c:scaling>
          <c:orientation val="minMax"/>
          <c:max val="38"/>
        </c:scaling>
        <c:delete val="0"/>
        <c:axPos val="l"/>
        <c:majorGridlines/>
        <c:numFmt formatCode="General" sourceLinked="1"/>
        <c:majorTickMark val="out"/>
        <c:minorTickMark val="none"/>
        <c:tickLblPos val="nextTo"/>
        <c:crossAx val="154777496"/>
        <c:crosses val="autoZero"/>
        <c:crossBetween val="between"/>
      </c:valAx>
      <c:valAx>
        <c:axId val="154778280"/>
        <c:scaling>
          <c:orientation val="minMax"/>
        </c:scaling>
        <c:delete val="1"/>
        <c:axPos val="r"/>
        <c:numFmt formatCode="General" sourceLinked="1"/>
        <c:majorTickMark val="out"/>
        <c:minorTickMark val="none"/>
        <c:tickLblPos val="nextTo"/>
        <c:crossAx val="154778672"/>
        <c:crosses val="max"/>
        <c:crossBetween val="between"/>
      </c:valAx>
      <c:catAx>
        <c:axId val="154778672"/>
        <c:scaling>
          <c:orientation val="minMax"/>
        </c:scaling>
        <c:delete val="1"/>
        <c:axPos val="b"/>
        <c:numFmt formatCode="General" sourceLinked="1"/>
        <c:majorTickMark val="out"/>
        <c:minorTickMark val="none"/>
        <c:tickLblPos val="nextTo"/>
        <c:crossAx val="154778280"/>
        <c:crosses val="autoZero"/>
        <c:auto val="1"/>
        <c:lblAlgn val="ctr"/>
        <c:lblOffset val="100"/>
        <c:noMultiLvlLbl val="0"/>
      </c:cat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41913101749149"/>
          <c:y val="3.631415334751098E-2"/>
          <c:w val="0.91885764845302198"/>
          <c:h val="0.5429908005952202"/>
        </c:manualLayout>
      </c:layout>
      <c:barChart>
        <c:barDir val="col"/>
        <c:grouping val="clustered"/>
        <c:varyColors val="0"/>
        <c:ser>
          <c:idx val="0"/>
          <c:order val="0"/>
          <c:tx>
            <c:strRef>
              <c:f>'Sheet1 (6)'!$H$12</c:f>
              <c:strCache>
                <c:ptCount val="1"/>
                <c:pt idx="0">
                  <c:v>Bemeneti mérés</c:v>
                </c:pt>
              </c:strCache>
            </c:strRef>
          </c:tx>
          <c:spPr>
            <a:solidFill>
              <a:schemeClr val="accent3"/>
            </a:solidFill>
            <a:ln w="25400">
              <a:solidFill>
                <a:schemeClr val="accent3"/>
              </a:solidFill>
            </a:ln>
            <a:effectLst/>
          </c:spPr>
          <c:invertIfNegative val="0"/>
          <c:cat>
            <c:multiLvlStrRef>
              <c:f>'Sheet1 (6)'!$F$13:$G$19</c:f>
              <c:multiLvlStrCache>
                <c:ptCount val="7"/>
                <c:lvl>
                  <c:pt idx="0">
                    <c:v>Hiányzó válaszok standardizált átlagos száma</c:v>
                  </c:pt>
                  <c:pt idx="1">
                    <c:v>Rossz válaszok standardizált átlagos száma</c:v>
                  </c:pt>
                  <c:pt idx="2">
                    <c:v>Jó válaszok standardizált átlagos száma</c:v>
                  </c:pt>
                  <c:pt idx="4">
                    <c:v>Hiányzó válaszok standardizált átlagos száma</c:v>
                  </c:pt>
                  <c:pt idx="5">
                    <c:v>Rossz válaszok standardizált átlagos száma</c:v>
                  </c:pt>
                  <c:pt idx="6">
                    <c:v>Jó válaszok standardizált átlagos száma</c:v>
                  </c:pt>
                </c:lvl>
                <c:lvl>
                  <c:pt idx="0">
                    <c:v>Kontroll csoport</c:v>
                  </c:pt>
                  <c:pt idx="3">
                    <c:v>&lt;--&gt;</c:v>
                  </c:pt>
                  <c:pt idx="4">
                    <c:v>Kísérleti csoport</c:v>
                  </c:pt>
                </c:lvl>
              </c:multiLvlStrCache>
            </c:multiLvlStrRef>
          </c:cat>
          <c:val>
            <c:numRef>
              <c:f>'Sheet1 (6)'!$H$13:$H$19</c:f>
              <c:numCache>
                <c:formatCode>General</c:formatCode>
                <c:ptCount val="7"/>
                <c:pt idx="0">
                  <c:v>8.5999999999999993E-2</c:v>
                </c:pt>
                <c:pt idx="1">
                  <c:v>0.16300000000000001</c:v>
                </c:pt>
                <c:pt idx="2">
                  <c:v>-0.23799999999999999</c:v>
                </c:pt>
                <c:pt idx="4">
                  <c:v>-0.115</c:v>
                </c:pt>
                <c:pt idx="5">
                  <c:v>-0.187</c:v>
                </c:pt>
                <c:pt idx="6">
                  <c:v>0.22800000000000001</c:v>
                </c:pt>
              </c:numCache>
            </c:numRef>
          </c:val>
        </c:ser>
        <c:ser>
          <c:idx val="1"/>
          <c:order val="1"/>
          <c:tx>
            <c:strRef>
              <c:f>'Sheet1 (6)'!$I$12</c:f>
              <c:strCache>
                <c:ptCount val="1"/>
                <c:pt idx="0">
                  <c:v>Kimeneti mérés</c:v>
                </c:pt>
              </c:strCache>
            </c:strRef>
          </c:tx>
          <c:spPr>
            <a:solidFill>
              <a:schemeClr val="accent1"/>
            </a:solidFill>
            <a:ln>
              <a:noFill/>
            </a:ln>
            <a:effectLst/>
          </c:spPr>
          <c:invertIfNegative val="0"/>
          <c:dLbls>
            <c:dLbl>
              <c:idx val="1"/>
              <c:layout>
                <c:manualLayout>
                  <c:x val="2.2045855379188711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'Sheet1 (6)'!$F$13:$G$19</c:f>
              <c:multiLvlStrCache>
                <c:ptCount val="7"/>
                <c:lvl>
                  <c:pt idx="0">
                    <c:v>Hiányzó válaszok standardizált átlagos száma</c:v>
                  </c:pt>
                  <c:pt idx="1">
                    <c:v>Rossz válaszok standardizált átlagos száma</c:v>
                  </c:pt>
                  <c:pt idx="2">
                    <c:v>Jó válaszok standardizált átlagos száma</c:v>
                  </c:pt>
                  <c:pt idx="4">
                    <c:v>Hiányzó válaszok standardizált átlagos száma</c:v>
                  </c:pt>
                  <c:pt idx="5">
                    <c:v>Rossz válaszok standardizált átlagos száma</c:v>
                  </c:pt>
                  <c:pt idx="6">
                    <c:v>Jó válaszok standardizált átlagos száma</c:v>
                  </c:pt>
                </c:lvl>
                <c:lvl>
                  <c:pt idx="0">
                    <c:v>Kontroll csoport</c:v>
                  </c:pt>
                  <c:pt idx="3">
                    <c:v>&lt;--&gt;</c:v>
                  </c:pt>
                  <c:pt idx="4">
                    <c:v>Kísérleti csoport</c:v>
                  </c:pt>
                </c:lvl>
              </c:multiLvlStrCache>
            </c:multiLvlStrRef>
          </c:cat>
          <c:val>
            <c:numRef>
              <c:f>'Sheet1 (6)'!$I$13:$I$19</c:f>
              <c:numCache>
                <c:formatCode>General</c:formatCode>
                <c:ptCount val="7"/>
                <c:pt idx="0">
                  <c:v>0.45</c:v>
                </c:pt>
                <c:pt idx="1">
                  <c:v>8.5000000000000006E-2</c:v>
                </c:pt>
                <c:pt idx="2">
                  <c:v>-0.35899999999999999</c:v>
                </c:pt>
                <c:pt idx="4">
                  <c:v>-0.39</c:v>
                </c:pt>
                <c:pt idx="5">
                  <c:v>3.6999999999999998E-2</c:v>
                </c:pt>
                <c:pt idx="6">
                  <c:v>0.48199999999999998</c:v>
                </c:pt>
              </c:numCache>
            </c:numRef>
          </c:val>
        </c:ser>
        <c:dLbls>
          <c:showLegendKey val="0"/>
          <c:showVal val="0"/>
          <c:showCatName val="0"/>
          <c:showSerName val="0"/>
          <c:showPercent val="0"/>
          <c:showBubbleSize val="0"/>
        </c:dLbls>
        <c:gapWidth val="121"/>
        <c:axId val="154779456"/>
        <c:axId val="155774184"/>
      </c:barChart>
      <c:catAx>
        <c:axId val="1547794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5774184"/>
        <c:crosses val="autoZero"/>
        <c:auto val="1"/>
        <c:lblAlgn val="ctr"/>
        <c:lblOffset val="100"/>
        <c:noMultiLvlLbl val="0"/>
      </c:catAx>
      <c:valAx>
        <c:axId val="155774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4779456"/>
        <c:crossesAt val="1"/>
        <c:crossBetween val="between"/>
      </c:valAx>
      <c:spPr>
        <a:noFill/>
        <a:ln>
          <a:noFill/>
        </a:ln>
        <a:effectLst/>
      </c:spPr>
    </c:plotArea>
    <c:legend>
      <c:legendPos val="r"/>
      <c:layout>
        <c:manualLayout>
          <c:xMode val="edge"/>
          <c:yMode val="edge"/>
          <c:x val="0.45947735111065802"/>
          <c:y val="0.8389115457399946"/>
          <c:w val="0.16305826382454974"/>
          <c:h val="0.125523835964007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[táblázatok_2.xlsx]iskolánként_énkép!$B$1</c:f>
              <c:strCache>
                <c:ptCount val="1"/>
                <c:pt idx="0">
                  <c:v>0-6 pozitív állítás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[táblázatok_2.xlsx]iskolánként_énkép!$A$2:$A$6</c:f>
              <c:strCache>
                <c:ptCount val="5"/>
                <c:pt idx="0">
                  <c:v>Gyárvárosi – kontroll</c:v>
                </c:pt>
                <c:pt idx="1">
                  <c:v>Meszes – kontroll</c:v>
                </c:pt>
                <c:pt idx="2">
                  <c:v>Meszes – kísérleti</c:v>
                </c:pt>
                <c:pt idx="3">
                  <c:v>Somogy – kísérleti</c:v>
                </c:pt>
                <c:pt idx="4">
                  <c:v>Bártfa – kísérleti</c:v>
                </c:pt>
              </c:strCache>
            </c:strRef>
          </c:cat>
          <c:val>
            <c:numRef>
              <c:f>[táblázatok_2.xlsx]iskolánként_énkép!$H$2:$H$6</c:f>
              <c:numCache>
                <c:formatCode>0%</c:formatCode>
                <c:ptCount val="5"/>
                <c:pt idx="0">
                  <c:v>0.17647058823529413</c:v>
                </c:pt>
                <c:pt idx="1">
                  <c:v>0.40740740740740738</c:v>
                </c:pt>
                <c:pt idx="2">
                  <c:v>0.33333333333333331</c:v>
                </c:pt>
                <c:pt idx="3">
                  <c:v>0.625</c:v>
                </c:pt>
                <c:pt idx="4">
                  <c:v>0.3888888888888889</c:v>
                </c:pt>
              </c:numCache>
            </c:numRef>
          </c:val>
        </c:ser>
        <c:ser>
          <c:idx val="1"/>
          <c:order val="1"/>
          <c:tx>
            <c:strRef>
              <c:f>[táblázatok_2.xlsx]iskolánként_énkép!$C$1</c:f>
              <c:strCache>
                <c:ptCount val="1"/>
                <c:pt idx="0">
                  <c:v>7 pozitív állítás</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[táblázatok_2.xlsx]iskolánként_énkép!$A$2:$A$6</c:f>
              <c:strCache>
                <c:ptCount val="5"/>
                <c:pt idx="0">
                  <c:v>Gyárvárosi – kontroll</c:v>
                </c:pt>
                <c:pt idx="1">
                  <c:v>Meszes – kontroll</c:v>
                </c:pt>
                <c:pt idx="2">
                  <c:v>Meszes – kísérleti</c:v>
                </c:pt>
                <c:pt idx="3">
                  <c:v>Somogy – kísérleti</c:v>
                </c:pt>
                <c:pt idx="4">
                  <c:v>Bártfa – kísérleti</c:v>
                </c:pt>
              </c:strCache>
            </c:strRef>
          </c:cat>
          <c:val>
            <c:numRef>
              <c:f>[táblázatok_2.xlsx]iskolánként_énkép!$I$2:$I$6</c:f>
              <c:numCache>
                <c:formatCode>0%</c:formatCode>
                <c:ptCount val="5"/>
                <c:pt idx="0">
                  <c:v>0.29411764705882354</c:v>
                </c:pt>
                <c:pt idx="1">
                  <c:v>0.22222222222222221</c:v>
                </c:pt>
                <c:pt idx="2">
                  <c:v>0.16666666666666666</c:v>
                </c:pt>
                <c:pt idx="3">
                  <c:v>0.125</c:v>
                </c:pt>
                <c:pt idx="4">
                  <c:v>0.27777777777777779</c:v>
                </c:pt>
              </c:numCache>
            </c:numRef>
          </c:val>
        </c:ser>
        <c:ser>
          <c:idx val="2"/>
          <c:order val="2"/>
          <c:tx>
            <c:strRef>
              <c:f>[táblázatok_2.xlsx]iskolánként_énkép!$D$1</c:f>
              <c:strCache>
                <c:ptCount val="1"/>
                <c:pt idx="0">
                  <c:v>8-9 pozitív állítás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[táblázatok_2.xlsx]iskolánként_énkép!$A$2:$A$6</c:f>
              <c:strCache>
                <c:ptCount val="5"/>
                <c:pt idx="0">
                  <c:v>Gyárvárosi – kontroll</c:v>
                </c:pt>
                <c:pt idx="1">
                  <c:v>Meszes – kontroll</c:v>
                </c:pt>
                <c:pt idx="2">
                  <c:v>Meszes – kísérleti</c:v>
                </c:pt>
                <c:pt idx="3">
                  <c:v>Somogy – kísérleti</c:v>
                </c:pt>
                <c:pt idx="4">
                  <c:v>Bártfa – kísérleti</c:v>
                </c:pt>
              </c:strCache>
            </c:strRef>
          </c:cat>
          <c:val>
            <c:numRef>
              <c:f>[táblázatok_2.xlsx]iskolánként_énkép!$J$2:$J$6</c:f>
              <c:numCache>
                <c:formatCode>0%</c:formatCode>
                <c:ptCount val="5"/>
                <c:pt idx="0">
                  <c:v>0.52941176470588236</c:v>
                </c:pt>
                <c:pt idx="1">
                  <c:v>0.37037037037037035</c:v>
                </c:pt>
                <c:pt idx="2">
                  <c:v>0.5</c:v>
                </c:pt>
                <c:pt idx="3">
                  <c:v>0.25</c:v>
                </c:pt>
                <c:pt idx="4">
                  <c:v>0.33333333333333331</c:v>
                </c:pt>
              </c:numCache>
            </c:numRef>
          </c:val>
        </c:ser>
        <c:dLbls>
          <c:showLegendKey val="0"/>
          <c:showVal val="0"/>
          <c:showCatName val="0"/>
          <c:showSerName val="0"/>
          <c:showPercent val="0"/>
          <c:showBubbleSize val="0"/>
        </c:dLbls>
        <c:gapWidth val="150"/>
        <c:overlap val="100"/>
        <c:axId val="155774968"/>
        <c:axId val="155775360"/>
      </c:barChart>
      <c:catAx>
        <c:axId val="155774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5775360"/>
        <c:crosses val="autoZero"/>
        <c:auto val="1"/>
        <c:lblAlgn val="ctr"/>
        <c:lblOffset val="100"/>
        <c:noMultiLvlLbl val="0"/>
      </c:catAx>
      <c:valAx>
        <c:axId val="15577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5774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[táblázatok_2.xlsx]iskolánként_énkép!$B$9</c:f>
              <c:strCache>
                <c:ptCount val="1"/>
                <c:pt idx="0">
                  <c:v>0-6 pozitív állítás</c:v>
                </c:pt>
              </c:strCache>
            </c:strRef>
          </c:tx>
          <c:spPr>
            <a:solidFill>
              <a:schemeClr val="accent1"/>
            </a:solidFill>
            <a:ln>
              <a:noFill/>
            </a:ln>
            <a:effectLst/>
          </c:spPr>
          <c:invertIfNegative val="0"/>
          <c:dLbls>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[táblázatok_2.xlsx]iskolánként_énkép!$A$10:$A$14</c:f>
              <c:strCache>
                <c:ptCount val="5"/>
                <c:pt idx="0">
                  <c:v>Gyárvárosi – kontroll</c:v>
                </c:pt>
                <c:pt idx="1">
                  <c:v>Meszes – kontroll</c:v>
                </c:pt>
                <c:pt idx="2">
                  <c:v>Meszes – kísérleti</c:v>
                </c:pt>
                <c:pt idx="3">
                  <c:v>Somogy – kísérleti</c:v>
                </c:pt>
                <c:pt idx="4">
                  <c:v>Bártfa – kísérleti</c:v>
                </c:pt>
              </c:strCache>
            </c:strRef>
          </c:cat>
          <c:val>
            <c:numRef>
              <c:f>[táblázatok_2.xlsx]iskolánként_énkép!$M$2:$M$6</c:f>
              <c:numCache>
                <c:formatCode>0%</c:formatCode>
                <c:ptCount val="5"/>
                <c:pt idx="0">
                  <c:v>0.23529411764705882</c:v>
                </c:pt>
                <c:pt idx="1">
                  <c:v>0.33333333333333331</c:v>
                </c:pt>
                <c:pt idx="2">
                  <c:v>0</c:v>
                </c:pt>
                <c:pt idx="3">
                  <c:v>0.375</c:v>
                </c:pt>
                <c:pt idx="4">
                  <c:v>0.5</c:v>
                </c:pt>
              </c:numCache>
            </c:numRef>
          </c:val>
        </c:ser>
        <c:ser>
          <c:idx val="1"/>
          <c:order val="1"/>
          <c:tx>
            <c:strRef>
              <c:f>[táblázatok_2.xlsx]iskolánként_énkép!$C$9</c:f>
              <c:strCache>
                <c:ptCount val="1"/>
                <c:pt idx="0">
                  <c:v>7 pozitív állítás</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[táblázatok_2.xlsx]iskolánként_énkép!$A$10:$A$14</c:f>
              <c:strCache>
                <c:ptCount val="5"/>
                <c:pt idx="0">
                  <c:v>Gyárvárosi – kontroll</c:v>
                </c:pt>
                <c:pt idx="1">
                  <c:v>Meszes – kontroll</c:v>
                </c:pt>
                <c:pt idx="2">
                  <c:v>Meszes – kísérleti</c:v>
                </c:pt>
                <c:pt idx="3">
                  <c:v>Somogy – kísérleti</c:v>
                </c:pt>
                <c:pt idx="4">
                  <c:v>Bártfa – kísérleti</c:v>
                </c:pt>
              </c:strCache>
            </c:strRef>
          </c:cat>
          <c:val>
            <c:numRef>
              <c:f>[táblázatok_2.xlsx]iskolánként_énkép!$N$2:$N$6</c:f>
              <c:numCache>
                <c:formatCode>0%</c:formatCode>
                <c:ptCount val="5"/>
                <c:pt idx="0">
                  <c:v>0.23529411764705882</c:v>
                </c:pt>
                <c:pt idx="1">
                  <c:v>0.18518518518518517</c:v>
                </c:pt>
                <c:pt idx="2">
                  <c:v>0.22222222222222221</c:v>
                </c:pt>
                <c:pt idx="3">
                  <c:v>0.25</c:v>
                </c:pt>
                <c:pt idx="4">
                  <c:v>0.1111111111111111</c:v>
                </c:pt>
              </c:numCache>
            </c:numRef>
          </c:val>
        </c:ser>
        <c:ser>
          <c:idx val="2"/>
          <c:order val="2"/>
          <c:tx>
            <c:strRef>
              <c:f>[táblázatok_2.xlsx]iskolánként_énkép!$D$9</c:f>
              <c:strCache>
                <c:ptCount val="1"/>
                <c:pt idx="0">
                  <c:v>8-9 pozitív állítás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[táblázatok_2.xlsx]iskolánként_énkép!$A$10:$A$14</c:f>
              <c:strCache>
                <c:ptCount val="5"/>
                <c:pt idx="0">
                  <c:v>Gyárvárosi – kontroll</c:v>
                </c:pt>
                <c:pt idx="1">
                  <c:v>Meszes – kontroll</c:v>
                </c:pt>
                <c:pt idx="2">
                  <c:v>Meszes – kísérleti</c:v>
                </c:pt>
                <c:pt idx="3">
                  <c:v>Somogy – kísérleti</c:v>
                </c:pt>
                <c:pt idx="4">
                  <c:v>Bártfa – kísérleti</c:v>
                </c:pt>
              </c:strCache>
            </c:strRef>
          </c:cat>
          <c:val>
            <c:numRef>
              <c:f>[táblázatok_2.xlsx]iskolánként_énkép!$O$2:$O$6</c:f>
              <c:numCache>
                <c:formatCode>0%</c:formatCode>
                <c:ptCount val="5"/>
                <c:pt idx="0">
                  <c:v>0.52941176470588236</c:v>
                </c:pt>
                <c:pt idx="1">
                  <c:v>0.48148148148148145</c:v>
                </c:pt>
                <c:pt idx="2">
                  <c:v>0.77777777777777779</c:v>
                </c:pt>
                <c:pt idx="3">
                  <c:v>0.375</c:v>
                </c:pt>
                <c:pt idx="4">
                  <c:v>0.3888888888888889</c:v>
                </c:pt>
              </c:numCache>
            </c:numRef>
          </c:val>
        </c:ser>
        <c:dLbls>
          <c:showLegendKey val="0"/>
          <c:showVal val="0"/>
          <c:showCatName val="0"/>
          <c:showSerName val="0"/>
          <c:showPercent val="0"/>
          <c:showBubbleSize val="0"/>
        </c:dLbls>
        <c:gapWidth val="150"/>
        <c:overlap val="100"/>
        <c:axId val="155776144"/>
        <c:axId val="155776536"/>
      </c:barChart>
      <c:catAx>
        <c:axId val="15577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5776536"/>
        <c:crosses val="autoZero"/>
        <c:auto val="1"/>
        <c:lblAlgn val="ctr"/>
        <c:lblOffset val="100"/>
        <c:noMultiLvlLbl val="0"/>
      </c:catAx>
      <c:valAx>
        <c:axId val="155776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5577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B0338-55E4-481F-AE65-634DB3E9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9087</Words>
  <Characters>62708</Characters>
  <Application>Microsoft Office Word</Application>
  <DocSecurity>0</DocSecurity>
  <Lines>522</Lines>
  <Paragraphs>143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pécsi kreatív partnerség matematika Pilot-programjának értékelése</vt:lpstr>
      <vt:lpstr>A pécsi kreatív partnerség matematika Pilot-programjának értékelése</vt:lpstr>
    </vt:vector>
  </TitlesOfParts>
  <Company>Microsoft</Company>
  <LinksUpToDate>false</LinksUpToDate>
  <CharactersWithSpaces>71652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pécsi kreatív partnerség matematika Pilot-programjának értékelése</dc:title>
  <dc:subject>Kutatási jelentés</dc:subject>
  <dc:creator>Danicak</dc:creator>
  <cp:lastModifiedBy>Németh Szilvia</cp:lastModifiedBy>
  <cp:revision>3</cp:revision>
  <dcterms:created xsi:type="dcterms:W3CDTF">2015-12-08T11:02:00Z</dcterms:created>
  <dcterms:modified xsi:type="dcterms:W3CDTF">2015-12-08T11:02:00Z</dcterms:modified>
</cp:coreProperties>
</file>